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AD2" w:rsidRPr="00E84AD2" w:rsidRDefault="00E84AD2" w:rsidP="00E84AD2">
      <w:pPr>
        <w:spacing w:after="0" w:line="240" w:lineRule="auto"/>
        <w:jc w:val="center"/>
        <w:rPr>
          <w:rFonts w:ascii="BalticaUzbek" w:eastAsia="Times New Roman" w:hAnsi="BalticaUzbek" w:cs="Times New Roman"/>
          <w:color w:val="000000"/>
          <w:sz w:val="28"/>
          <w:szCs w:val="28"/>
        </w:rPr>
      </w:pPr>
      <w:r w:rsidRPr="00E84AD2">
        <w:rPr>
          <w:rFonts w:ascii="Times New Roman" w:eastAsia="Times New Roman" w:hAnsi="Times New Roman" w:cs="Times New Roman"/>
          <w:b/>
          <w:bCs/>
          <w:color w:val="000000"/>
          <w:sz w:val="28"/>
          <w:szCs w:val="28"/>
        </w:rPr>
        <w:t>Алимент ундириш тўғрисидаги ишларни судда кўришнинг</w:t>
      </w:r>
    </w:p>
    <w:p w:rsidR="00E84AD2" w:rsidRPr="00E84AD2" w:rsidRDefault="00E84AD2" w:rsidP="00E84AD2">
      <w:pPr>
        <w:spacing w:after="0" w:line="240" w:lineRule="auto"/>
        <w:jc w:val="center"/>
        <w:rPr>
          <w:rFonts w:ascii="BalticaUzbek" w:eastAsia="Times New Roman" w:hAnsi="BalticaUzbek" w:cs="Times New Roman"/>
          <w:color w:val="000000"/>
          <w:sz w:val="28"/>
          <w:szCs w:val="28"/>
        </w:rPr>
      </w:pPr>
      <w:r w:rsidRPr="00E84AD2">
        <w:rPr>
          <w:rFonts w:ascii="Times New Roman" w:eastAsia="Times New Roman" w:hAnsi="Times New Roman" w:cs="Times New Roman"/>
          <w:b/>
          <w:bCs/>
          <w:color w:val="000000"/>
          <w:sz w:val="28"/>
          <w:szCs w:val="28"/>
        </w:rPr>
        <w:t>пр</w:t>
      </w:r>
      <w:r w:rsidRPr="00E84AD2">
        <w:rPr>
          <w:rFonts w:ascii="Times New Roman" w:eastAsia="Times New Roman" w:hAnsi="Times New Roman" w:cs="Times New Roman"/>
          <w:b/>
          <w:bCs/>
          <w:color w:val="000000"/>
          <w:sz w:val="28"/>
          <w:szCs w:val="28"/>
          <w:lang w:val="uz-Cyrl-UZ"/>
        </w:rPr>
        <w:t>о</w:t>
      </w:r>
      <w:r w:rsidRPr="00E84AD2">
        <w:rPr>
          <w:rFonts w:ascii="Times New Roman" w:eastAsia="Times New Roman" w:hAnsi="Times New Roman" w:cs="Times New Roman"/>
          <w:b/>
          <w:bCs/>
          <w:color w:val="000000"/>
          <w:sz w:val="28"/>
          <w:szCs w:val="28"/>
        </w:rPr>
        <w:t>цессуал хусусиятлари</w:t>
      </w:r>
    </w:p>
    <w:p w:rsidR="00E84AD2" w:rsidRPr="00E84AD2" w:rsidRDefault="00E84AD2" w:rsidP="00E84AD2">
      <w:pPr>
        <w:spacing w:after="0" w:line="240" w:lineRule="auto"/>
        <w:jc w:val="right"/>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 </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b/>
          <w:bCs/>
          <w:i/>
          <w:iCs/>
          <w:color w:val="000000"/>
          <w:sz w:val="28"/>
          <w:szCs w:val="28"/>
        </w:rPr>
        <w:t>Алимент ундириш тўғрисидаги ишларда иштирок этувчи шахслар. </w:t>
      </w:r>
      <w:r w:rsidRPr="00E84AD2">
        <w:rPr>
          <w:rFonts w:ascii="Times New Roman" w:eastAsia="Times New Roman" w:hAnsi="Times New Roman" w:cs="Times New Roman"/>
          <w:color w:val="000000"/>
          <w:sz w:val="28"/>
          <w:szCs w:val="28"/>
        </w:rPr>
        <w:t>Алимент ундириш тўғрисидаги ишларни ўз вақтида ва тўғри ҳал қилинишида ишда иштирок этувчи шахслар доирасини тўғри белгилаш муҳим аҳамиятга эгадир. Таъкидлаш жоизки, мазкур туркумдаги ишларда иштирок этувчи шахслар таркибида ҳам айрим ўзига хос процессуал хусусиятлар мавжуд.</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Агар даъво тартибида кўриладиган ишларда тарафлар сифатида вояга етган шахслар иштирок этса, даъвогар ва жавобгарларнинг таркибини аниқлаш мураккаб масала ҳисобланмайди. Лекин бу борада даъво тартибида кўриладиган вояга етмаганларга нисбатан алимент ундириш тўғрисидаги ишларда судлар олдида бир қатор қийинчиликлар вужудга келиши мумкин. Вояга етмаганларга нисбатан алимент ундириш тўғрисида даъво тақдим этилганда фарзандларнинг ота-оналари уларнинг қонуний вакиллари ҳисобланиши ёки мазкур иш бўйича даъвогар сифатида қатнашиши мунозарали масала ҳисобланади. Мазкур масаланинг нафақат назарий, балки амалий аҳамият касб этиши тўғрисида олимлар ўз фикр-мулоҳазаларини билдириб ўтадилар</w:t>
      </w:r>
      <w:bookmarkStart w:id="0" w:name="_ftnref20"/>
      <w:r w:rsidRPr="00E84AD2">
        <w:rPr>
          <w:rFonts w:ascii="Times New Roman" w:eastAsia="Times New Roman" w:hAnsi="Times New Roman" w:cs="Times New Roman"/>
          <w:color w:val="000000"/>
          <w:sz w:val="28"/>
          <w:szCs w:val="28"/>
        </w:rPr>
        <w:fldChar w:fldCharType="begin"/>
      </w:r>
      <w:r w:rsidRPr="00E84AD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"_ftn20" \o "" </w:instrText>
      </w:r>
      <w:r w:rsidRPr="00E84AD2">
        <w:rPr>
          <w:rFonts w:ascii="Times New Roman" w:eastAsia="Times New Roman" w:hAnsi="Times New Roman" w:cs="Times New Roman"/>
          <w:color w:val="000000"/>
          <w:sz w:val="28"/>
          <w:szCs w:val="28"/>
        </w:rPr>
        <w:fldChar w:fldCharType="separate"/>
      </w:r>
      <w:r w:rsidRPr="00E84AD2">
        <w:rPr>
          <w:rFonts w:ascii="Times New Roman" w:eastAsia="Times New Roman" w:hAnsi="Times New Roman" w:cs="Times New Roman"/>
          <w:color w:val="0000FF"/>
          <w:sz w:val="28"/>
          <w:szCs w:val="28"/>
          <w:u w:val="single"/>
          <w:vertAlign w:val="superscript"/>
        </w:rPr>
        <w:t>[20]</w:t>
      </w:r>
      <w:r w:rsidRPr="00E84AD2">
        <w:rPr>
          <w:rFonts w:ascii="Times New Roman" w:eastAsia="Times New Roman" w:hAnsi="Times New Roman" w:cs="Times New Roman"/>
          <w:color w:val="000000"/>
          <w:sz w:val="28"/>
          <w:szCs w:val="28"/>
        </w:rPr>
        <w:fldChar w:fldCharType="end"/>
      </w:r>
      <w:bookmarkEnd w:id="0"/>
      <w:r w:rsidRPr="00E84AD2">
        <w:rPr>
          <w:rFonts w:ascii="Times New Roman" w:eastAsia="Times New Roman" w:hAnsi="Times New Roman" w:cs="Times New Roman"/>
          <w:color w:val="000000"/>
          <w:sz w:val="28"/>
          <w:szCs w:val="28"/>
        </w:rPr>
        <w:t>.</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Ўзбекистон Республикаси ФПКсининг 5-моддасида кўрсатилишича, ҳар қандай манфаатдор шахс ўзининг бузилган ҳуқуқи ва қонун билан қўриқланадиган манфаатини ҳимоя қилишни сўраб қонунда белгиланган тартибда судга мурожат қилишга ҳақли. Алимент ундириш тўғрисидаги ишларда манфаатдор шахслар сифатида вояга етмаган ва ёрдамга муҳтож, меҳнатга лаёқатсиз оила аъзолари ҳисобланади. Шунингдек, судда вояга етган ва Ўзбекистон Республикаси ФКнинг 28-моддасига биноан тўла муомалага лаёқатли деб эълон қилинган (эмансипация) шахслар ўз ҳуқуқларини шахсан ҳимоя қилишлари мумкин.</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Ота-оналар ёрдамга муҳтож меҳнатга лаёқатсиз вояга етган шахсларга алимент ундириш тўғрисидаги даъволарни тақдим этишга ҳақли эмас. Бу ҳолатда даъво аризаси меҳнатга лаёқатсиз шахс томонидан берилади. Агар даъво руҳий касаллиги ёки ақли заифлиги натижасида суд томонидан муомалага лаёқатсиз деб топилган вояга етган шахс манфаатини кўзлаб берилаётган бўлса, даъво аризаси унинг номидан мазкур фуқаронинг васийси томонидан берилиши мумкин</w:t>
      </w:r>
      <w:bookmarkStart w:id="1" w:name="_ftnref21"/>
      <w:r w:rsidRPr="00E84AD2">
        <w:rPr>
          <w:rFonts w:ascii="Times New Roman" w:eastAsia="Times New Roman" w:hAnsi="Times New Roman" w:cs="Times New Roman"/>
          <w:color w:val="000000"/>
          <w:sz w:val="28"/>
          <w:szCs w:val="28"/>
        </w:rPr>
        <w:fldChar w:fldCharType="begin"/>
      </w:r>
      <w:r w:rsidRPr="00E84AD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"_ftn21" \o "" </w:instrText>
      </w:r>
      <w:r w:rsidRPr="00E84AD2">
        <w:rPr>
          <w:rFonts w:ascii="Times New Roman" w:eastAsia="Times New Roman" w:hAnsi="Times New Roman" w:cs="Times New Roman"/>
          <w:color w:val="000000"/>
          <w:sz w:val="28"/>
          <w:szCs w:val="28"/>
        </w:rPr>
        <w:fldChar w:fldCharType="separate"/>
      </w:r>
      <w:r w:rsidRPr="00E84AD2">
        <w:rPr>
          <w:rFonts w:ascii="Times New Roman" w:eastAsia="Times New Roman" w:hAnsi="Times New Roman" w:cs="Times New Roman"/>
          <w:color w:val="0000FF"/>
          <w:sz w:val="28"/>
          <w:szCs w:val="28"/>
          <w:u w:val="single"/>
          <w:vertAlign w:val="superscript"/>
        </w:rPr>
        <w:t>[21]</w:t>
      </w:r>
      <w:r w:rsidRPr="00E84AD2">
        <w:rPr>
          <w:rFonts w:ascii="Times New Roman" w:eastAsia="Times New Roman" w:hAnsi="Times New Roman" w:cs="Times New Roman"/>
          <w:color w:val="000000"/>
          <w:sz w:val="28"/>
          <w:szCs w:val="28"/>
        </w:rPr>
        <w:fldChar w:fldCharType="end"/>
      </w:r>
      <w:bookmarkEnd w:id="1"/>
      <w:r w:rsidRPr="00E84AD2">
        <w:rPr>
          <w:rFonts w:ascii="Times New Roman" w:eastAsia="Times New Roman" w:hAnsi="Times New Roman" w:cs="Times New Roman"/>
          <w:color w:val="000000"/>
          <w:sz w:val="28"/>
          <w:szCs w:val="28"/>
        </w:rPr>
        <w:t xml:space="preserve">. Аксарият ҳолларда алиментга оид ҳуқуқий муносабатларнинг субъекти бўлиб, ўзининг ота-онасидан (отаси ёки онасидан) таъминот олиш ҳуқуқига эга бўлган фарзандлар ҳисобланади. Лекин муомалага лаёқатсиз ёки муомала лаёқати чекланган болалар даъво тақдим эта олмайди. Шунинг учун алимент ундириш тўғрисидаги даъвони </w:t>
      </w:r>
      <w:r w:rsidRPr="00E84AD2">
        <w:rPr>
          <w:rFonts w:ascii="Times New Roman" w:eastAsia="Times New Roman" w:hAnsi="Times New Roman" w:cs="Times New Roman"/>
          <w:color w:val="000000"/>
          <w:sz w:val="28"/>
          <w:szCs w:val="28"/>
        </w:rPr>
        <w:lastRenderedPageBreak/>
        <w:t>бола билан бирга яшаётган ота ёки онасидан бири (фарзандликка олувчи) тақдим этади. Агар бола қариндошларидан бири билан яшаётган бўлса ёхуд васий (ҳомий) тарбиясида бўлса, қайд этилган шахсларнинг бирини аризаси бўйича алимент ундириш тўғрисидаги ишлар судда қўзғатилиши мумкин. Бундай ҳуқуққа васий ёки ҳомий эга бўлмаган ҳолларда, вояга етмаган шахслар кимнинг қарамоғида бўлса, ўша фуқаролар даъво тақдим этиш ҳуқуқига эга бўлади. Масалан, агар неваралар бобоси ва бувасининг оиласида бирга яшаётган бўлиб, уларнинг ота-оналари моддий ёрдам кўрсатмаётган бўлсалар, судда алимент ундириш тўғрисидаги даъво аризалари билан мурожаат қилиш ҳуқуқига фарзанднинг бобоси ва бувалари эга бўлади.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Даъво фарзанд номидан эмас, балки аризачи номидан тақдим этилсада, мазкур аризачи даъвогар ҳисобланмайди. У фақатгина даъвогар вакили ҳисобланади, даъвогар сифатида эса таъминотига алиментлар ундирилаётган фарзанд кўрилади. Дарҳақиқат, Ўзбекистон Республикаси ФПК нинг 39-моддасига кўра, даъвогар деб ўзининг бузилган ёки низолашилаётган ҳуқуқлари ёхуд қонун билан қўриқланадиган манфаатларини ҳимоя қилиш мақсадида судга мурожаат этган ёинки манфаатини кўзлаб иш қўзғатилган шахс тушунилади.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Маълумки, процессуал ҳуқуқ лаёқатига бола туғилганидан бошлаб эга бўлади. Айнан ҳуқуқ лаёқатига эга эканлиги процессда иштирок этмасдан, низоли алиментга доир моддий ҳуқуқий муносабат субъекти бўлиб иш бўйича тараф сифатида қатнашишига имконият беради. Айтиб ўтиш керакки, унинг манфаатларини ҳимоя қилиб прокурор даъво аризаси билан судга мурожат қилганда ҳам бола худди шундай процессуал ҳуқуқий ҳолатга эга бўлади. Прокурор процессда мустақил процессуал ҳолатга эга. Қонунда кўрсатилган ҳолларда алиментлар суднинг ташаббуси билан ундирилади.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Алимент миқдорини камайтириш ва алиментни тўлашдан озод қилиш тўғрисидаги ишларда даъвогар сифатида алимент тўловчилар кўрилади </w:t>
      </w:r>
      <w:bookmarkStart w:id="2" w:name="_ftnref22"/>
      <w:r w:rsidRPr="00E84AD2">
        <w:rPr>
          <w:rFonts w:ascii="Times New Roman" w:eastAsia="Times New Roman" w:hAnsi="Times New Roman" w:cs="Times New Roman"/>
          <w:color w:val="000000"/>
          <w:sz w:val="28"/>
          <w:szCs w:val="28"/>
        </w:rPr>
        <w:fldChar w:fldCharType="begin"/>
      </w:r>
      <w:r w:rsidRPr="00E84AD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"_ftn22" \o "" </w:instrText>
      </w:r>
      <w:r w:rsidRPr="00E84AD2">
        <w:rPr>
          <w:rFonts w:ascii="Times New Roman" w:eastAsia="Times New Roman" w:hAnsi="Times New Roman" w:cs="Times New Roman"/>
          <w:color w:val="000000"/>
          <w:sz w:val="28"/>
          <w:szCs w:val="28"/>
        </w:rPr>
        <w:fldChar w:fldCharType="separate"/>
      </w:r>
      <w:r w:rsidRPr="00E84AD2">
        <w:rPr>
          <w:rFonts w:ascii="Times New Roman" w:eastAsia="Times New Roman" w:hAnsi="Times New Roman" w:cs="Times New Roman"/>
          <w:color w:val="0000FF"/>
          <w:sz w:val="28"/>
          <w:szCs w:val="28"/>
          <w:u w:val="single"/>
          <w:vertAlign w:val="superscript"/>
        </w:rPr>
        <w:t>[22]</w:t>
      </w:r>
      <w:r w:rsidRPr="00E84AD2">
        <w:rPr>
          <w:rFonts w:ascii="Times New Roman" w:eastAsia="Times New Roman" w:hAnsi="Times New Roman" w:cs="Times New Roman"/>
          <w:color w:val="000000"/>
          <w:sz w:val="28"/>
          <w:szCs w:val="28"/>
        </w:rPr>
        <w:fldChar w:fldCharType="end"/>
      </w:r>
      <w:bookmarkEnd w:id="2"/>
      <w:r w:rsidRPr="00E84AD2">
        <w:rPr>
          <w:rFonts w:ascii="Times New Roman" w:eastAsia="Times New Roman" w:hAnsi="Times New Roman" w:cs="Times New Roman"/>
          <w:color w:val="000000"/>
          <w:sz w:val="28"/>
          <w:szCs w:val="28"/>
        </w:rPr>
        <w:t>.</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 xml:space="preserve">Алимент ундириш тўғрисидаги ишларда қонун асосида тарафлар таркибини аниқлаш ҳақидаги масалани тўғри ҳал қилиниши амалиёт учун катта аҳамиятга эгадир (масалан, алимент ундириш тўғрисидаги суд буйруғини ёки ҳал қилув қарорини ижро этилиши жараёнида). Чунки алимент ундириш тўғрисидаги ишда фарзанд даъвогар бўлади ва у алимент ундириш тўғрисидаги даъвога ҳуқуқи мавжуд ҳамда вояга етмаган боланинг субъектив ҳуқуқи иш бўйича чиқарилган суднинг ҳал қилув қарори ёки суд буйруғи билан тасдиқланади. Боланинг ота-онаси (ёки бошқа қонуний вакили) маълум бир сабабларга кўра тарбияга бўлган ҳуқуқини амалга ошира олмаса (ўлими, ота-оналик ҳуқуқидан маҳрум қилиниши, фарзандликка олинганликни бекор қилиниши, васийликни бекор қилиниши ва ҳ.к.) боланинг янги қонуний вакили алимент тўлашга мажбур бўлган шахсга </w:t>
      </w:r>
      <w:r w:rsidRPr="00E84AD2">
        <w:rPr>
          <w:rFonts w:ascii="Times New Roman" w:eastAsia="Times New Roman" w:hAnsi="Times New Roman" w:cs="Times New Roman"/>
          <w:color w:val="000000"/>
          <w:sz w:val="28"/>
          <w:szCs w:val="28"/>
        </w:rPr>
        <w:lastRenderedPageBreak/>
        <w:t>нисбатан олдин ҳам берилган алимент ундириш тўғрисидаги даъвони тақдим эта олмайди, чунки айнан шу масала бўйича аввал тақдим этилган даъво аризаси кўрилган ва ҳал қилинган ҳамда иш юзасидан суднинг ҳал қилув қарори чиқарилган.</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Юридик адабиётларда бир-бирига айнан ўхшаш даъволар деганда тарафлар, даъво предмети ва асосини бир хил бўлиши тушунилади. Мазкур мулоҳазадан келиб чиқиб, даъво элеметларидан ҳеч бўлмаса бирининг ўзгариши ўхшашликни бузилишига олиб келади деган хато хулоса чиқарилади</w:t>
      </w:r>
      <w:bookmarkStart w:id="3" w:name="_ftnref23"/>
      <w:r w:rsidRPr="00E84AD2">
        <w:rPr>
          <w:rFonts w:ascii="Times New Roman" w:eastAsia="Times New Roman" w:hAnsi="Times New Roman" w:cs="Times New Roman"/>
          <w:color w:val="000000"/>
          <w:sz w:val="28"/>
          <w:szCs w:val="28"/>
        </w:rPr>
        <w:fldChar w:fldCharType="begin"/>
      </w:r>
      <w:r w:rsidRPr="00E84AD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"_ftn23" \o "" </w:instrText>
      </w:r>
      <w:r w:rsidRPr="00E84AD2">
        <w:rPr>
          <w:rFonts w:ascii="Times New Roman" w:eastAsia="Times New Roman" w:hAnsi="Times New Roman" w:cs="Times New Roman"/>
          <w:color w:val="000000"/>
          <w:sz w:val="28"/>
          <w:szCs w:val="28"/>
        </w:rPr>
        <w:fldChar w:fldCharType="separate"/>
      </w:r>
      <w:r w:rsidRPr="00E84AD2">
        <w:rPr>
          <w:rFonts w:ascii="Times New Roman" w:eastAsia="Times New Roman" w:hAnsi="Times New Roman" w:cs="Times New Roman"/>
          <w:color w:val="0000FF"/>
          <w:sz w:val="28"/>
          <w:szCs w:val="28"/>
          <w:u w:val="single"/>
          <w:vertAlign w:val="superscript"/>
        </w:rPr>
        <w:t>[23]</w:t>
      </w:r>
      <w:r w:rsidRPr="00E84AD2">
        <w:rPr>
          <w:rFonts w:ascii="Times New Roman" w:eastAsia="Times New Roman" w:hAnsi="Times New Roman" w:cs="Times New Roman"/>
          <w:color w:val="000000"/>
          <w:sz w:val="28"/>
          <w:szCs w:val="28"/>
        </w:rPr>
        <w:fldChar w:fldCharType="end"/>
      </w:r>
      <w:bookmarkEnd w:id="3"/>
      <w:r w:rsidRPr="00E84AD2">
        <w:rPr>
          <w:rFonts w:ascii="Times New Roman" w:eastAsia="Times New Roman" w:hAnsi="Times New Roman" w:cs="Times New Roman"/>
          <w:color w:val="000000"/>
          <w:sz w:val="28"/>
          <w:szCs w:val="28"/>
        </w:rPr>
        <w:t>.</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Лекин даъво элементларини ҳар қандай бузилиши ўхшашликни бузилишига олиб келмайди, чунки ўхшашлик бу тенглик эмас. Бир-бирига айнан ўхшашлик бу бир хилликдир, шунинг учун ўхшаш даъво худди ўша эмас, балки бир хил даъводир</w:t>
      </w:r>
      <w:bookmarkStart w:id="4" w:name="_ftnref24"/>
      <w:r w:rsidRPr="00E84AD2">
        <w:rPr>
          <w:rFonts w:ascii="Times New Roman" w:eastAsia="Times New Roman" w:hAnsi="Times New Roman" w:cs="Times New Roman"/>
          <w:color w:val="000000"/>
          <w:sz w:val="28"/>
          <w:szCs w:val="28"/>
        </w:rPr>
        <w:fldChar w:fldCharType="begin"/>
      </w:r>
      <w:r w:rsidRPr="00E84AD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"_ftn24" \o "" </w:instrText>
      </w:r>
      <w:r w:rsidRPr="00E84AD2">
        <w:rPr>
          <w:rFonts w:ascii="Times New Roman" w:eastAsia="Times New Roman" w:hAnsi="Times New Roman" w:cs="Times New Roman"/>
          <w:color w:val="000000"/>
          <w:sz w:val="28"/>
          <w:szCs w:val="28"/>
        </w:rPr>
        <w:fldChar w:fldCharType="separate"/>
      </w:r>
      <w:r w:rsidRPr="00E84AD2">
        <w:rPr>
          <w:rFonts w:ascii="Times New Roman" w:eastAsia="Times New Roman" w:hAnsi="Times New Roman" w:cs="Times New Roman"/>
          <w:color w:val="0000FF"/>
          <w:sz w:val="28"/>
          <w:szCs w:val="28"/>
          <w:u w:val="single"/>
          <w:vertAlign w:val="superscript"/>
        </w:rPr>
        <w:t>[24]</w:t>
      </w:r>
      <w:r w:rsidRPr="00E84AD2">
        <w:rPr>
          <w:rFonts w:ascii="Times New Roman" w:eastAsia="Times New Roman" w:hAnsi="Times New Roman" w:cs="Times New Roman"/>
          <w:color w:val="000000"/>
          <w:sz w:val="28"/>
          <w:szCs w:val="28"/>
        </w:rPr>
        <w:fldChar w:fldCharType="end"/>
      </w:r>
      <w:bookmarkEnd w:id="4"/>
      <w:r w:rsidRPr="00E84AD2">
        <w:rPr>
          <w:rFonts w:ascii="Times New Roman" w:eastAsia="Times New Roman" w:hAnsi="Times New Roman" w:cs="Times New Roman"/>
          <w:color w:val="000000"/>
          <w:sz w:val="28"/>
          <w:szCs w:val="28"/>
        </w:rPr>
        <w:t>. Даъволарнинг бир-бирига айнан ўхшашлиги тўғрисидаги қоидалар ФПКнинг 97, 100, 152-моддаларининг таҳлили билан тасдиқланади.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Агар фарзанд болалар муассассасига жойлаштирилган ва унинг ота-онаси унинг таъминоти учун маблағ тўлашдан тўлиқ ёки қисман озод этилмаган бўлса</w:t>
      </w:r>
      <w:r w:rsidRPr="00E84AD2">
        <w:rPr>
          <w:rFonts w:ascii="Times New Roman" w:eastAsia="Times New Roman" w:hAnsi="Times New Roman" w:cs="Times New Roman"/>
          <w:b/>
          <w:bCs/>
          <w:color w:val="000000"/>
          <w:sz w:val="28"/>
          <w:szCs w:val="28"/>
        </w:rPr>
        <w:t>, </w:t>
      </w:r>
      <w:r w:rsidRPr="00E84AD2">
        <w:rPr>
          <w:rFonts w:ascii="Times New Roman" w:eastAsia="Times New Roman" w:hAnsi="Times New Roman" w:cs="Times New Roman"/>
          <w:color w:val="000000"/>
          <w:sz w:val="28"/>
          <w:szCs w:val="28"/>
        </w:rPr>
        <w:t>ота-онасидан алимент ундириш тўғрисидаги даъво болалар муассасаси томонидан берилади.</w:t>
      </w:r>
    </w:p>
    <w:p w:rsidR="00E84AD2" w:rsidRPr="00E84AD2" w:rsidRDefault="00E84AD2" w:rsidP="00E84AD2">
      <w:pPr>
        <w:spacing w:after="12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Маълумки, фарзанд болалар муассасаларига жойлаштирилганда, уларнинг таъминотига кетган харажатлар қонунда белгиланган миқдорда Оила Кодексининг 99-моддасига биноан ота-онасидан ундирилади. Бу ҳолатда даъво ота-она - жавобгарларга тақдим этилади, иш бўйича даъвогар сифатида болалар муассасаси манфаатларини ҳимоя қилаётган фарзанд кўрилади. Ўзбекистон Республикаси Оила кодексининг 106-моддасининг 2-кисмига берилган Ўзбекистон Республикаси Оила кодекси шарҳларда кўрсатилишича; «Болалар тегишли муассасаларда бўлганларида уларнинг таъминоти учун алимент ана шу муассасалар фойдасига фақат болаларнинг ота-оналаридан ундирилади. Бундай ҳолда ота-онасининг қарамоғидан маҳрум бўлган болаларнинг вояга етган акалари ва опалари, бувилари ва боболари алимент тўлашга жалб қилиниши мукин эмас».</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Ота-оналар ҳомийлигида бўлмаган ва тарбия муассасаларида, аҳолини ижтимоий ҳимоя қилиш ва шу каби бошқа муассасаларда бўлган болалар фойдасига ундириладиган алиментлар мазкур муассасалар ҳисобига ўтказилади. Демак, алимент олиш субъекти муассаса эмас, балки бола ҳисобланади</w:t>
      </w:r>
      <w:bookmarkStart w:id="5" w:name="_ftnref25"/>
      <w:r w:rsidRPr="00E84AD2">
        <w:rPr>
          <w:rFonts w:ascii="Times New Roman" w:eastAsia="Times New Roman" w:hAnsi="Times New Roman" w:cs="Times New Roman"/>
          <w:color w:val="000000"/>
          <w:sz w:val="28"/>
          <w:szCs w:val="28"/>
        </w:rPr>
        <w:fldChar w:fldCharType="begin"/>
      </w:r>
      <w:r w:rsidRPr="00E84AD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"_ftn25" \o "" </w:instrText>
      </w:r>
      <w:r w:rsidRPr="00E84AD2">
        <w:rPr>
          <w:rFonts w:ascii="Times New Roman" w:eastAsia="Times New Roman" w:hAnsi="Times New Roman" w:cs="Times New Roman"/>
          <w:color w:val="000000"/>
          <w:sz w:val="28"/>
          <w:szCs w:val="28"/>
        </w:rPr>
        <w:fldChar w:fldCharType="separate"/>
      </w:r>
      <w:r w:rsidRPr="00E84AD2">
        <w:rPr>
          <w:rFonts w:ascii="Times New Roman" w:eastAsia="Times New Roman" w:hAnsi="Times New Roman" w:cs="Times New Roman"/>
          <w:color w:val="0000FF"/>
          <w:sz w:val="28"/>
          <w:szCs w:val="28"/>
          <w:u w:val="single"/>
          <w:vertAlign w:val="superscript"/>
        </w:rPr>
        <w:t>[25]</w:t>
      </w:r>
      <w:r w:rsidRPr="00E84AD2">
        <w:rPr>
          <w:rFonts w:ascii="Times New Roman" w:eastAsia="Times New Roman" w:hAnsi="Times New Roman" w:cs="Times New Roman"/>
          <w:color w:val="000000"/>
          <w:sz w:val="28"/>
          <w:szCs w:val="28"/>
        </w:rPr>
        <w:fldChar w:fldCharType="end"/>
      </w:r>
      <w:bookmarkEnd w:id="5"/>
      <w:r w:rsidRPr="00E84AD2">
        <w:rPr>
          <w:rFonts w:ascii="Times New Roman" w:eastAsia="Times New Roman" w:hAnsi="Times New Roman" w:cs="Times New Roman"/>
          <w:color w:val="000000"/>
          <w:sz w:val="28"/>
          <w:szCs w:val="28"/>
        </w:rPr>
        <w:t>.</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Айтиб ўтиш керакки, боланинг ота-онасидан алимент олиш учун тегишли чораларни кўриш боланинг ота-онасидан бирининг ёхуд уларнинг ўрнини босувчи  шахсларнинг мажбурияти ҳисобланади.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lastRenderedPageBreak/>
        <w:t>Ўзбекистон Республикаси Оила Кодексининг 96-моддаси 3-қисмида юқорида қайд этилган шахслар мажбурий тартибда алиментларни олиш чораларини кўрмаса ва алимент тўлаш тўғрисида келишув мавжуд бўлмаган ҳолларда васийлик ва ҳомийлик органлари алиментларни ундириш ҳақида даъво ёки суд буйруғини бериш тўғрисидаги аризани тақдим этиш ҳуқуқига эга эканлиги белгиланган.</w:t>
      </w:r>
    </w:p>
    <w:p w:rsidR="00E84AD2" w:rsidRPr="00E84AD2" w:rsidRDefault="00E84AD2" w:rsidP="00E84AD2">
      <w:pPr>
        <w:spacing w:after="12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Васийлик ва ҳомийлик органлари ўзининг ташаббуси билан мажбурий ижро этиш, вояга етмаган болаларга алимент тўлаш тўғрисидаги келишувни ҳақиқий эмас деб топиш ёки бекор қилиш ёхуд ўзгартириш ҳақидаги даъволарни тақдим этиш ҳуқуқига эгадирлар. Бундай ҳуқуқ васийлик ва ҳомийлик органларининг вояга етмаганлар манфаатларини ҳимоя қилишга кирувчи умумий ваколатларидан келиб чиқади.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Боланинг ота-онаси ёки улардан бири вояга етмаган шахс бўлиши мумкин. Агар улар орасидаги никоҳ қайд этилган бўлса, вояга етмаган эр ёки хотин тўлиқ фуқаролик муомала лаёқатига эга бўлади. Бу ва бошқа ҳолларда вояга етмаган она вояга етмаган отага нисбатан алимент ундириш тўғрисидаги даъвони тақдим этади. Вояга етмаган она ёки отага кўмаклашиш мақсадида суд ишга унинг ота-онасини, фарзандликка олувчи ёки ҳомийларни жалб қилиши мумкин. Мазкур шахсларни ишга жалб қилиниши суднинг ихтиёрига боғлиқ. Бошқа ҳолларда вояга етмаган ота-оналарнинг ҳуқуқлари уларнинг қонуний вакиллари томонидан ҳимоя қилинади</w:t>
      </w:r>
      <w:bookmarkStart w:id="6" w:name="_ftnref26"/>
      <w:r w:rsidRPr="00E84AD2">
        <w:rPr>
          <w:rFonts w:ascii="Times New Roman" w:eastAsia="Times New Roman" w:hAnsi="Times New Roman" w:cs="Times New Roman"/>
          <w:color w:val="000000"/>
          <w:sz w:val="28"/>
          <w:szCs w:val="28"/>
        </w:rPr>
        <w:fldChar w:fldCharType="begin"/>
      </w:r>
      <w:r w:rsidRPr="00E84AD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"_ftn26" \o "" </w:instrText>
      </w:r>
      <w:r w:rsidRPr="00E84AD2">
        <w:rPr>
          <w:rFonts w:ascii="Times New Roman" w:eastAsia="Times New Roman" w:hAnsi="Times New Roman" w:cs="Times New Roman"/>
          <w:color w:val="000000"/>
          <w:sz w:val="28"/>
          <w:szCs w:val="28"/>
        </w:rPr>
        <w:fldChar w:fldCharType="separate"/>
      </w:r>
      <w:r w:rsidRPr="00E84AD2">
        <w:rPr>
          <w:rFonts w:ascii="Times New Roman" w:eastAsia="Times New Roman" w:hAnsi="Times New Roman" w:cs="Times New Roman"/>
          <w:color w:val="0000FF"/>
          <w:sz w:val="28"/>
          <w:szCs w:val="28"/>
          <w:u w:val="single"/>
          <w:vertAlign w:val="superscript"/>
        </w:rPr>
        <w:t>[26]</w:t>
      </w:r>
      <w:r w:rsidRPr="00E84AD2">
        <w:rPr>
          <w:rFonts w:ascii="Times New Roman" w:eastAsia="Times New Roman" w:hAnsi="Times New Roman" w:cs="Times New Roman"/>
          <w:color w:val="000000"/>
          <w:sz w:val="28"/>
          <w:szCs w:val="28"/>
        </w:rPr>
        <w:fldChar w:fldCharType="end"/>
      </w:r>
      <w:bookmarkEnd w:id="6"/>
      <w:r w:rsidRPr="00E84AD2">
        <w:rPr>
          <w:rFonts w:ascii="Times New Roman" w:eastAsia="Times New Roman" w:hAnsi="Times New Roman" w:cs="Times New Roman"/>
          <w:color w:val="000000"/>
          <w:sz w:val="28"/>
          <w:szCs w:val="28"/>
        </w:rPr>
        <w:t>. Ўзбекистон Республикаси ФПК 51 моддасида қонуний вакиллар  судда ишни олиб боришни бошқа шахсга топшириши мумкинлиги кўрсатилган.</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Эр-хотиндан бирининг, ота-оналар ва бошқа вояга етган меҳнатга лаёқатсиз шахсларни таъминоти учун маблағ ундириш тўғрисидаги даъволар шу шахсларнинг ўзлари томонидан берилади. Зарур бўлган ҳолларда улар вакиллар орқали ўз ишларини юритишлари мумкин, бу эса аризачиларни ишда шахсан иштирок этиш ҳуқуқидан маҳрум қилмайди (ФПКнинг 50-м.). Вакилнинг ваколатлари нотариал тартибда тасдиқланган ишончномада кўрсатилган бўлиши керак. Қонунга биноан ишончномалар ишонч билдирувчи ишлаётган ёки ўқиётган корхона, муассаса ёки ташкилот, фуқаро даволанаётган стационар даволаш муассасаси маъмурияти, агар ишончнома ҳарбий хизматчига берилаётган бўлса, тегишли ҳарбий қисм, агар ишонч билдирувчи озодликдан маҳрум қилиш жойларида бўлса, озодликдан маҳрум қилиш жойларидаги маъмурият томонидан тасдиқланади. Вакил сифатида адвокат катнашган ҳолларда эса, унинг ваколатлари ҳуқуқий маслаҳатхона томонидан берилган ордер билан тасдиқланади.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 xml:space="preserve">Алимент мажбуриятларининг хусусиятларидан бири шундаки, баъзи ҳоллардла алимент мажбуриятларининг субъектлари сифатида бир неча шахс </w:t>
      </w:r>
      <w:r w:rsidRPr="00E84AD2">
        <w:rPr>
          <w:rFonts w:ascii="Times New Roman" w:eastAsia="Times New Roman" w:hAnsi="Times New Roman" w:cs="Times New Roman"/>
          <w:color w:val="000000"/>
          <w:sz w:val="28"/>
          <w:szCs w:val="28"/>
        </w:rPr>
        <w:lastRenderedPageBreak/>
        <w:t>қатнашиши мумкин. Бу эса мазкур туркумдаги ишлар бўйича процессда шерик иштирокчиларнинг иштирокини таъминлайди. Масалан, шерик жавобгарлар сифатида ота-оналар (алимент ундириш ва уларни иккаласини ота-оналик ҳуқуқидан маҳрум қилиш тўғрисидаги даъволар бўйича), ўғай ота ва ўғай она, бобоси, бувиси, акаси, опаси ва қонунда кўрсатилган бошқа шахслар шулар жумласидандир </w:t>
      </w:r>
      <w:bookmarkStart w:id="7" w:name="_ftnref27"/>
      <w:r w:rsidRPr="00E84AD2">
        <w:rPr>
          <w:rFonts w:ascii="Times New Roman" w:eastAsia="Times New Roman" w:hAnsi="Times New Roman" w:cs="Times New Roman"/>
          <w:color w:val="000000"/>
          <w:sz w:val="28"/>
          <w:szCs w:val="28"/>
        </w:rPr>
        <w:fldChar w:fldCharType="begin"/>
      </w:r>
      <w:r w:rsidRPr="00E84AD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"_ftn27" \o "" </w:instrText>
      </w:r>
      <w:r w:rsidRPr="00E84AD2">
        <w:rPr>
          <w:rFonts w:ascii="Times New Roman" w:eastAsia="Times New Roman" w:hAnsi="Times New Roman" w:cs="Times New Roman"/>
          <w:color w:val="000000"/>
          <w:sz w:val="28"/>
          <w:szCs w:val="28"/>
        </w:rPr>
        <w:fldChar w:fldCharType="separate"/>
      </w:r>
      <w:r w:rsidRPr="00E84AD2">
        <w:rPr>
          <w:rFonts w:ascii="Times New Roman" w:eastAsia="Times New Roman" w:hAnsi="Times New Roman" w:cs="Times New Roman"/>
          <w:color w:val="0000FF"/>
          <w:sz w:val="28"/>
          <w:szCs w:val="28"/>
          <w:u w:val="single"/>
          <w:vertAlign w:val="superscript"/>
        </w:rPr>
        <w:t>[27]</w:t>
      </w:r>
      <w:r w:rsidRPr="00E84AD2">
        <w:rPr>
          <w:rFonts w:ascii="Times New Roman" w:eastAsia="Times New Roman" w:hAnsi="Times New Roman" w:cs="Times New Roman"/>
          <w:color w:val="000000"/>
          <w:sz w:val="28"/>
          <w:szCs w:val="28"/>
        </w:rPr>
        <w:fldChar w:fldCharType="end"/>
      </w:r>
      <w:bookmarkEnd w:id="7"/>
      <w:r w:rsidRPr="00E84AD2">
        <w:rPr>
          <w:rFonts w:ascii="Times New Roman" w:eastAsia="Times New Roman" w:hAnsi="Times New Roman" w:cs="Times New Roman"/>
          <w:color w:val="000000"/>
          <w:sz w:val="28"/>
          <w:szCs w:val="28"/>
        </w:rPr>
        <w:t>.</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Мазкур туркумдаги ишлар бўйича жавобгар биринчи никоҳидан бўлган фарзандларига алимент тўлаган ҳолларда мустақил талаб билан арз қилмайдиган учинчи шахс сифатида иштирок этиши назарда тутилади. Мазкур ҳолда учинчи шахснинг иштирок этишига унинг ишни натижасидан манфаатдорлиги асос бўлади, яъни даъвони қаноатлантириш тўғрисидаги суд ҳал қилув қарорининг чиқарилиши биринчи никоҳдан бўлган фарзандларга тўланадиган алимент миқдорини камайишига олиб келади ва шу сабабли улар моддий ҳолатига таъсир қилиши мумкин. Жавобгар томонидан учинчи шахс сифатида жавобгарнинг хотини (биринчи никоҳдан бўлган фарзанларининг онаси) жалб қилинади.</w:t>
      </w:r>
    </w:p>
    <w:p w:rsidR="00E84AD2" w:rsidRPr="00E84AD2" w:rsidRDefault="00E84AD2" w:rsidP="00E84AD2">
      <w:pPr>
        <w:spacing w:after="12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Жавобгар ва унинг биринчи никоҳидан бўлган фарзандлари ўртасидаги алиментга оид ҳуқуқий муносабатларнинг характери мазкур масалани ҳал қилишда тўғри ёндашувни белгилаб беради. Учинчи шахслар сифатида биринчи никоҳдаги хотини эмас, балки фарзандлари иштирок этиши керак. Бу ҳолатда хотини уларнинг процессдаги қонуний вакили ҳисобланади. Алимент ундириш тўғрисидаги талабни ҳал қилишда суд алимент тўловчи шахснинг алимент миқдорини ёхуд жавобгар томонидан етказилган зарар миқдорини камайтириш мақсадида берилганлигини текшириши лозим. Шунинг учун суднинг ҳал қилув қарори ёки суд буйруғи асосида жавобгардан нафақат алимент олувчи, балки жавобгардан қайд этилган ундирувлар фойдасига ундиралаётган шахслар иш бўйича учинчи шахслар сифатида жалб қилиниши керак.</w:t>
      </w:r>
    </w:p>
    <w:p w:rsidR="00E84AD2" w:rsidRPr="00E84AD2" w:rsidRDefault="00E84AD2" w:rsidP="00E84AD2">
      <w:pPr>
        <w:spacing w:after="12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Бошқа болаларнинг таъминоти учун алиментлар миқдорини асоссиз камайтириш ёки жавобгарни бошқа шахслар олдидаги мажбуриятларини бажаришдан бўйин товлаш мақсадида (масалан, етказилган зарарни қоплаш) даъво тақдим этилганини аниқлаб, суд даъвони рад этади.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Э.Салумаанинг фикрича, жавобгар томонидан учинчи шахс сифатида нафақат таъминоти учун маблағ ундирилаётган бошқа никоҳдаги болалари, балки фойдасига маълум суммалар олаётган ҳамма ундирувчилар ҳам жалб қилиниши лозим. Чунки алимент ундириш тўғрисидаги даъвонинг сохталиги ҳолларида бошқа ундирувчилар талаблари бўйича ҳал қилув қарорларнинг ижроси асоссиз секинлашади ёки ижро этишнинг имконияти бўлмай қолади, чунки алиментлар биринчи навбатда ундирилади</w:t>
      </w:r>
      <w:bookmarkStart w:id="8" w:name="_ftnref28"/>
      <w:r w:rsidRPr="00E84AD2">
        <w:rPr>
          <w:rFonts w:ascii="Times New Roman" w:eastAsia="Times New Roman" w:hAnsi="Times New Roman" w:cs="Times New Roman"/>
          <w:color w:val="000000"/>
          <w:sz w:val="28"/>
          <w:szCs w:val="28"/>
        </w:rPr>
        <w:fldChar w:fldCharType="begin"/>
      </w:r>
      <w:r w:rsidRPr="00E84AD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"_ftn28" \o "" </w:instrText>
      </w:r>
      <w:r w:rsidRPr="00E84AD2">
        <w:rPr>
          <w:rFonts w:ascii="Times New Roman" w:eastAsia="Times New Roman" w:hAnsi="Times New Roman" w:cs="Times New Roman"/>
          <w:color w:val="000000"/>
          <w:sz w:val="28"/>
          <w:szCs w:val="28"/>
        </w:rPr>
        <w:fldChar w:fldCharType="separate"/>
      </w:r>
      <w:r w:rsidRPr="00E84AD2">
        <w:rPr>
          <w:rFonts w:ascii="Times New Roman" w:eastAsia="Times New Roman" w:hAnsi="Times New Roman" w:cs="Times New Roman"/>
          <w:color w:val="0000FF"/>
          <w:sz w:val="28"/>
          <w:szCs w:val="28"/>
          <w:u w:val="single"/>
          <w:vertAlign w:val="superscript"/>
        </w:rPr>
        <w:t>[28]</w:t>
      </w:r>
      <w:r w:rsidRPr="00E84AD2">
        <w:rPr>
          <w:rFonts w:ascii="Times New Roman" w:eastAsia="Times New Roman" w:hAnsi="Times New Roman" w:cs="Times New Roman"/>
          <w:color w:val="000000"/>
          <w:sz w:val="28"/>
          <w:szCs w:val="28"/>
        </w:rPr>
        <w:fldChar w:fldCharType="end"/>
      </w:r>
      <w:bookmarkEnd w:id="8"/>
      <w:r w:rsidRPr="00E84AD2">
        <w:rPr>
          <w:rFonts w:ascii="Times New Roman" w:eastAsia="Times New Roman" w:hAnsi="Times New Roman" w:cs="Times New Roman"/>
          <w:color w:val="000000"/>
          <w:sz w:val="28"/>
          <w:szCs w:val="28"/>
        </w:rPr>
        <w:t>.</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lastRenderedPageBreak/>
        <w:t>Юқоридаги фикрларга Г.М.Каратыш қарши фикр билдириб, жавобгарни бошқа ундирувчилар олдидаги мажбуриятларини бажарилишни секинланиши процессга учинчи шахснинг жалб қилинишига асос бўлмаслигини таъкидлайди</w:t>
      </w:r>
      <w:bookmarkStart w:id="9" w:name="_ftnref29"/>
      <w:r w:rsidRPr="00E84AD2">
        <w:rPr>
          <w:rFonts w:ascii="Times New Roman" w:eastAsia="Times New Roman" w:hAnsi="Times New Roman" w:cs="Times New Roman"/>
          <w:color w:val="000000"/>
          <w:sz w:val="28"/>
          <w:szCs w:val="28"/>
        </w:rPr>
        <w:fldChar w:fldCharType="begin"/>
      </w:r>
      <w:r w:rsidRPr="00E84AD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"_ftn29" \o "" </w:instrText>
      </w:r>
      <w:r w:rsidRPr="00E84AD2">
        <w:rPr>
          <w:rFonts w:ascii="Times New Roman" w:eastAsia="Times New Roman" w:hAnsi="Times New Roman" w:cs="Times New Roman"/>
          <w:color w:val="000000"/>
          <w:sz w:val="28"/>
          <w:szCs w:val="28"/>
        </w:rPr>
        <w:fldChar w:fldCharType="separate"/>
      </w:r>
      <w:r w:rsidRPr="00E84AD2">
        <w:rPr>
          <w:rFonts w:ascii="Times New Roman" w:eastAsia="Times New Roman" w:hAnsi="Times New Roman" w:cs="Times New Roman"/>
          <w:color w:val="0000FF"/>
          <w:sz w:val="28"/>
          <w:szCs w:val="28"/>
          <w:u w:val="single"/>
          <w:vertAlign w:val="superscript"/>
        </w:rPr>
        <w:t>[29]</w:t>
      </w:r>
      <w:r w:rsidRPr="00E84AD2">
        <w:rPr>
          <w:rFonts w:ascii="Times New Roman" w:eastAsia="Times New Roman" w:hAnsi="Times New Roman" w:cs="Times New Roman"/>
          <w:color w:val="000000"/>
          <w:sz w:val="28"/>
          <w:szCs w:val="28"/>
        </w:rPr>
        <w:fldChar w:fldCharType="end"/>
      </w:r>
      <w:bookmarkEnd w:id="9"/>
      <w:r w:rsidRPr="00E84AD2">
        <w:rPr>
          <w:rFonts w:ascii="Times New Roman" w:eastAsia="Times New Roman" w:hAnsi="Times New Roman" w:cs="Times New Roman"/>
          <w:color w:val="000000"/>
          <w:sz w:val="28"/>
          <w:szCs w:val="28"/>
        </w:rPr>
        <w:t>.</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b/>
          <w:bCs/>
          <w:color w:val="000000"/>
          <w:sz w:val="28"/>
          <w:szCs w:val="28"/>
        </w:rPr>
        <w:t>М.С.Шакарян эса бир неча ижро варақалари бўйича алимент ундириш нафақат секинланишига, балки бошқа талабларни қаноатлан-тиришнинг имкониятини йўқлигини айтади</w:t>
      </w:r>
      <w:bookmarkStart w:id="10" w:name="_ftnref30"/>
      <w:r w:rsidRPr="00E84AD2">
        <w:rPr>
          <w:rFonts w:ascii="Times New Roman" w:eastAsia="Times New Roman" w:hAnsi="Times New Roman" w:cs="Times New Roman"/>
          <w:b/>
          <w:bCs/>
          <w:color w:val="000000"/>
          <w:sz w:val="28"/>
          <w:szCs w:val="28"/>
        </w:rPr>
        <w:fldChar w:fldCharType="begin"/>
      </w:r>
      <w:r w:rsidRPr="00E84AD2">
        <w:rPr>
          <w:rFonts w:ascii="Times New Roman" w:eastAsia="Times New Roman" w:hAnsi="Times New Roman" w:cs="Times New Roman"/>
          <w:b/>
          <w:bCs/>
          <w:color w:val="000000"/>
          <w:sz w:val="28"/>
          <w:szCs w:val="28"/>
        </w:rPr>
        <w:instrText xml:space="preserve"> HYPERLINK "file:///E:\\WEB%20option\\UzVIP%20files\\1111111111111111111111\\From%20Muzaffar\\FILES\\Universitet\\TDYUI%20kitoblari\\Darsliklar\\Ayrim%20tur-gi%20fuq-k%20ishlarini%20suda%20ko'r-ng%20pr-l%20xus-i.htm" \l "_ftn30" \o "" </w:instrText>
      </w:r>
      <w:r w:rsidRPr="00E84AD2">
        <w:rPr>
          <w:rFonts w:ascii="Times New Roman" w:eastAsia="Times New Roman" w:hAnsi="Times New Roman" w:cs="Times New Roman"/>
          <w:b/>
          <w:bCs/>
          <w:color w:val="000000"/>
          <w:sz w:val="28"/>
          <w:szCs w:val="28"/>
        </w:rPr>
        <w:fldChar w:fldCharType="separate"/>
      </w:r>
      <w:r w:rsidRPr="00E84AD2">
        <w:rPr>
          <w:rFonts w:ascii="Times New Roman" w:eastAsia="Times New Roman" w:hAnsi="Times New Roman" w:cs="Times New Roman"/>
          <w:b/>
          <w:bCs/>
          <w:color w:val="0000FF"/>
          <w:sz w:val="28"/>
          <w:szCs w:val="28"/>
          <w:u w:val="single"/>
          <w:vertAlign w:val="superscript"/>
        </w:rPr>
        <w:t>[30]</w:t>
      </w:r>
      <w:r w:rsidRPr="00E84AD2">
        <w:rPr>
          <w:rFonts w:ascii="Times New Roman" w:eastAsia="Times New Roman" w:hAnsi="Times New Roman" w:cs="Times New Roman"/>
          <w:b/>
          <w:bCs/>
          <w:color w:val="000000"/>
          <w:sz w:val="28"/>
          <w:szCs w:val="28"/>
        </w:rPr>
        <w:fldChar w:fldCharType="end"/>
      </w:r>
      <w:bookmarkEnd w:id="10"/>
      <w:r w:rsidRPr="00E84AD2">
        <w:rPr>
          <w:rFonts w:ascii="Times New Roman" w:eastAsia="Times New Roman" w:hAnsi="Times New Roman" w:cs="Times New Roman"/>
          <w:b/>
          <w:bCs/>
          <w:color w:val="000000"/>
          <w:sz w:val="28"/>
          <w:szCs w:val="28"/>
        </w:rPr>
        <w:t>.</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Ю. В.га нисбатан ўғлига алимент ундириш тўғрисидаги даъво билан судга мурожат қилган. Ю. Жавобгар билан қонуний никоҳда эканлигини, лекин унинг нотўғри хулқ-атвори сабабли бирга яшамаётганлигини, боланинг таъминоти учун моддий ёрдам кўрсатмаётганини билдириб, В.дан ўғлининг таъминоти учун маблағ ундириб беришни сўраган. Жавобгар даъвони тан олган. Суд даъвони қаноатлантирган.</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Лекин суднинг ҳал қилув қарори устидан В.нинг биринчи хотини шикоят берган. Вилоят судининг раиси иш материаллари билан танишиб, иш бўйича чиқарилган суднинг ҳал қилув қарори ноқонуний ва асоссиз эканлигини кўрсатиб, вилоят судининг Раёсатига назорат тартибида протест келтирди ва ўз протестида суднинг ҳал қилув қарорини бекор қилиб, ишни янгитдан кўриш учун юборишни сўраган.</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Вилоят судиниг Раёсати протестни қаноатлантириб, ўз қарорида болаларга алимент ундириш тўғрисидаги даъволарни кўришда судлар жавобгарни болаларга таъминот бериш мажбуриятини бажаришини, берилаётган таъминот миқдори қонунга тўғри келишини ва даъво тақдим этишнинг асосий сабабини аниқлаши лозимлигини ҳамда агар жавобгар бошқа онага тўлайдиган алиментлар миқдорини ёки корхона, муассаса, ташкилот, фуқароларга етказилган зарарни ойлик иш ҳақидан тўланадиган пулни камайтириш мақсадида даъво тақдим этилганлигини аниқланса, даъво қаноатлантирилмаслигини назарда тутиши кераклиги кўрсатилган.</w:t>
      </w:r>
    </w:p>
    <w:p w:rsidR="00E84AD2" w:rsidRPr="00E84AD2" w:rsidRDefault="00E84AD2" w:rsidP="00E84AD2">
      <w:pPr>
        <w:spacing w:after="12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Шу билан бирга, иш материалларидан аниқланишича, суднинг ҳал қилув қарори асосида Т.нинг ўғли Андрей фойдасига жавобгардан иш ҳақининг тўртдан бир қисми миқдорида алимент ундирилган. Бу ҳолат судга маълум бўлсада, суд Ю.нинг В.га нисбатан алимент ундириш тўғрисидаги даъвоси бўйича ишни кўриш вақтида Т.ни учинчи шахс сифатида жалб қилмаган, даъво тақдим этилишининг асл сабабини тўлиқ аниқламаган ва Т. фойдасига ундирилаётган алиментлар миқдорини камайтириш мақсадида даъво тақдим этилганлигини текширмаган.</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 xml:space="preserve">Маълум бўлишича, Ю.нинг алимент ундириш тўғрисидаги даъвоси қаноатлантирилгандан сўнг, В. судга даъво аризаси билан мурожат қилиб, Т.нинг фойдасига ундирилаётган алиментлар миқдорини камайтиришни </w:t>
      </w:r>
      <w:r w:rsidRPr="00E84AD2">
        <w:rPr>
          <w:rFonts w:ascii="Times New Roman" w:eastAsia="Times New Roman" w:hAnsi="Times New Roman" w:cs="Times New Roman"/>
          <w:color w:val="000000"/>
          <w:sz w:val="28"/>
          <w:szCs w:val="28"/>
        </w:rPr>
        <w:lastRenderedPageBreak/>
        <w:t>сўраган. Иш судда кўрилишида Т. даъвони қаноатлантиришга қаршилигини билдириб, даъвогарни алимент ундириш тўғрисидаги даъвони тақдим этишидан мақсад унинг ўғлига ундирилаётган алиментлар миқдорини камайтириш эканлигини айтган</w:t>
      </w:r>
      <w:bookmarkStart w:id="11" w:name="_ftnref31"/>
      <w:r w:rsidRPr="00E84AD2">
        <w:rPr>
          <w:rFonts w:ascii="Times New Roman" w:eastAsia="Times New Roman" w:hAnsi="Times New Roman" w:cs="Times New Roman"/>
          <w:color w:val="000000"/>
          <w:sz w:val="28"/>
          <w:szCs w:val="28"/>
        </w:rPr>
        <w:fldChar w:fldCharType="begin"/>
      </w:r>
      <w:r w:rsidRPr="00E84AD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"_ftn31" \o "" </w:instrText>
      </w:r>
      <w:r w:rsidRPr="00E84AD2">
        <w:rPr>
          <w:rFonts w:ascii="Times New Roman" w:eastAsia="Times New Roman" w:hAnsi="Times New Roman" w:cs="Times New Roman"/>
          <w:color w:val="000000"/>
          <w:sz w:val="28"/>
          <w:szCs w:val="28"/>
        </w:rPr>
        <w:fldChar w:fldCharType="separate"/>
      </w:r>
      <w:r w:rsidRPr="00E84AD2">
        <w:rPr>
          <w:rFonts w:ascii="Times New Roman" w:eastAsia="Times New Roman" w:hAnsi="Times New Roman" w:cs="Times New Roman"/>
          <w:color w:val="0000FF"/>
          <w:sz w:val="28"/>
          <w:szCs w:val="28"/>
          <w:u w:val="single"/>
          <w:vertAlign w:val="superscript"/>
        </w:rPr>
        <w:t>[31]</w:t>
      </w:r>
      <w:r w:rsidRPr="00E84AD2">
        <w:rPr>
          <w:rFonts w:ascii="Times New Roman" w:eastAsia="Times New Roman" w:hAnsi="Times New Roman" w:cs="Times New Roman"/>
          <w:color w:val="000000"/>
          <w:sz w:val="28"/>
          <w:szCs w:val="28"/>
        </w:rPr>
        <w:fldChar w:fldCharType="end"/>
      </w:r>
      <w:bookmarkEnd w:id="11"/>
      <w:r w:rsidRPr="00E84AD2">
        <w:rPr>
          <w:rFonts w:ascii="Times New Roman" w:eastAsia="Times New Roman" w:hAnsi="Times New Roman" w:cs="Times New Roman"/>
          <w:color w:val="000000"/>
          <w:sz w:val="28"/>
          <w:szCs w:val="28"/>
        </w:rPr>
        <w:t>.</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Юқорида келтирилган мисолдан кўриниб турибдики, алимент ундириш тўғрисидаги ишларни судда кўришга етарлича тайёргарлик кўрмаслик, жавобгар билан суҳбатлашмаслик, унга нисбатан келтирилган даъвонинг мазмуни бўйича унинг фикр ва эътирозларини аниқламаслик - жавобгарни далилларни йиғиш зарурати муносабати билан ишни кўришни кейнга қолдиришга олиб келиши мумкин. Афсуски, амалиётда судлар томонидан мазкур туркумдаги ишларни тарафларнинг иштирокисиз, яъни уларни тегишлича ишнинг кўрилиши вақти ва жойи тўғрисида ҳабардор қилмасдан кўриш ҳоллари учрамоқда. Бу эса ишларни кўришнинг процессуал муддатларини бузилишига ва тарафларнинг, ишда иштирок этучи шахсларнинг шикоят келтиришига ҳамда ортиқча сарсонгарчиликка олиб келади.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Шуни назарда тутиш керакки, алиментга оид ҳуқуқий муносабатлар шахсий характерга эга эканлиги учун мазкур ишлар бўйича процессуал ҳуқуқий ворисликка йўл қўйилмайди </w:t>
      </w:r>
      <w:bookmarkStart w:id="12" w:name="_ftnref32"/>
      <w:r w:rsidRPr="00E84AD2">
        <w:rPr>
          <w:rFonts w:ascii="Times New Roman" w:eastAsia="Times New Roman" w:hAnsi="Times New Roman" w:cs="Times New Roman"/>
          <w:color w:val="000000"/>
          <w:sz w:val="28"/>
          <w:szCs w:val="28"/>
        </w:rPr>
        <w:fldChar w:fldCharType="begin"/>
      </w:r>
      <w:r w:rsidRPr="00E84AD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"_ftn32" \o "" </w:instrText>
      </w:r>
      <w:r w:rsidRPr="00E84AD2">
        <w:rPr>
          <w:rFonts w:ascii="Times New Roman" w:eastAsia="Times New Roman" w:hAnsi="Times New Roman" w:cs="Times New Roman"/>
          <w:color w:val="000000"/>
          <w:sz w:val="28"/>
          <w:szCs w:val="28"/>
        </w:rPr>
        <w:fldChar w:fldCharType="separate"/>
      </w:r>
      <w:r w:rsidRPr="00E84AD2">
        <w:rPr>
          <w:rFonts w:ascii="Times New Roman" w:eastAsia="Times New Roman" w:hAnsi="Times New Roman" w:cs="Times New Roman"/>
          <w:color w:val="0000FF"/>
          <w:sz w:val="28"/>
          <w:szCs w:val="28"/>
          <w:u w:val="single"/>
          <w:vertAlign w:val="superscript"/>
        </w:rPr>
        <w:t>[32]</w:t>
      </w:r>
      <w:r w:rsidRPr="00E84AD2">
        <w:rPr>
          <w:rFonts w:ascii="Times New Roman" w:eastAsia="Times New Roman" w:hAnsi="Times New Roman" w:cs="Times New Roman"/>
          <w:color w:val="000000"/>
          <w:sz w:val="28"/>
          <w:szCs w:val="28"/>
        </w:rPr>
        <w:fldChar w:fldCharType="end"/>
      </w:r>
      <w:bookmarkEnd w:id="12"/>
      <w:r w:rsidRPr="00E84AD2">
        <w:rPr>
          <w:rFonts w:ascii="Times New Roman" w:eastAsia="Times New Roman" w:hAnsi="Times New Roman" w:cs="Times New Roman"/>
          <w:color w:val="000000"/>
          <w:sz w:val="28"/>
          <w:szCs w:val="28"/>
        </w:rPr>
        <w:t>.</w:t>
      </w:r>
    </w:p>
    <w:p w:rsidR="00E84AD2" w:rsidRPr="00E84AD2" w:rsidRDefault="00E84AD2" w:rsidP="00E84AD2">
      <w:pPr>
        <w:spacing w:after="0" w:line="240" w:lineRule="auto"/>
        <w:jc w:val="center"/>
        <w:rPr>
          <w:rFonts w:ascii="BalticaUzbek" w:eastAsia="Times New Roman" w:hAnsi="BalticaUzbek" w:cs="Times New Roman"/>
          <w:color w:val="000000"/>
          <w:sz w:val="28"/>
          <w:szCs w:val="28"/>
        </w:rPr>
      </w:pPr>
      <w:r w:rsidRPr="00E84AD2">
        <w:rPr>
          <w:rFonts w:ascii="Times New Roman" w:eastAsia="Times New Roman" w:hAnsi="Times New Roman" w:cs="Times New Roman"/>
          <w:b/>
          <w:bCs/>
          <w:color w:val="000000"/>
          <w:sz w:val="28"/>
          <w:szCs w:val="28"/>
          <w:lang w:val="uz-Cyrl-UZ"/>
        </w:rPr>
        <w:t>1-</w:t>
      </w:r>
      <w:r w:rsidRPr="00E84AD2">
        <w:rPr>
          <w:rFonts w:ascii="Times New Roman" w:eastAsia="Times New Roman" w:hAnsi="Times New Roman" w:cs="Times New Roman"/>
          <w:b/>
          <w:bCs/>
          <w:color w:val="000000"/>
          <w:sz w:val="28"/>
          <w:szCs w:val="28"/>
        </w:rPr>
        <w:t>§</w:t>
      </w:r>
      <w:r w:rsidRPr="00E84AD2">
        <w:rPr>
          <w:rFonts w:ascii="Times New Roman" w:eastAsia="Times New Roman" w:hAnsi="Times New Roman" w:cs="Times New Roman"/>
          <w:b/>
          <w:bCs/>
          <w:color w:val="000000"/>
          <w:sz w:val="28"/>
          <w:szCs w:val="28"/>
          <w:lang w:val="uz-Cyrl-UZ"/>
        </w:rPr>
        <w:t>.</w:t>
      </w:r>
      <w:r w:rsidRPr="00E84AD2">
        <w:rPr>
          <w:rFonts w:ascii="Times New Roman" w:eastAsia="Times New Roman" w:hAnsi="Times New Roman" w:cs="Times New Roman"/>
          <w:b/>
          <w:bCs/>
          <w:i/>
          <w:iCs/>
          <w:color w:val="000000"/>
          <w:sz w:val="28"/>
          <w:szCs w:val="28"/>
          <w:lang w:val="uz-Cyrl-UZ"/>
        </w:rPr>
        <w:t> </w:t>
      </w:r>
      <w:r w:rsidRPr="00E84AD2">
        <w:rPr>
          <w:rFonts w:ascii="Times New Roman" w:eastAsia="Times New Roman" w:hAnsi="Times New Roman" w:cs="Times New Roman"/>
          <w:b/>
          <w:bCs/>
          <w:color w:val="000000"/>
          <w:sz w:val="28"/>
          <w:szCs w:val="28"/>
          <w:lang w:val="uz-Cyrl-UZ"/>
        </w:rPr>
        <w:t>Алимент ундириш тўғрисидаги даъволарни тақдим</w:t>
      </w:r>
    </w:p>
    <w:p w:rsidR="00E84AD2" w:rsidRPr="00E84AD2" w:rsidRDefault="00E84AD2" w:rsidP="00E84AD2">
      <w:pPr>
        <w:spacing w:after="0" w:line="240" w:lineRule="auto"/>
        <w:jc w:val="center"/>
        <w:rPr>
          <w:rFonts w:ascii="BalticaUzbek" w:eastAsia="Times New Roman" w:hAnsi="BalticaUzbek" w:cs="Times New Roman"/>
          <w:color w:val="000000"/>
          <w:sz w:val="28"/>
          <w:szCs w:val="28"/>
        </w:rPr>
      </w:pPr>
      <w:r w:rsidRPr="00E84AD2">
        <w:rPr>
          <w:rFonts w:ascii="Times New Roman" w:eastAsia="Times New Roman" w:hAnsi="Times New Roman" w:cs="Times New Roman"/>
          <w:b/>
          <w:bCs/>
          <w:color w:val="000000"/>
          <w:sz w:val="28"/>
          <w:szCs w:val="28"/>
          <w:lang w:val="uz-Cyrl-UZ"/>
        </w:rPr>
        <w:t> этиш хусусиятлари</w:t>
      </w:r>
    </w:p>
    <w:p w:rsidR="00E84AD2" w:rsidRPr="00E84AD2" w:rsidRDefault="00E84AD2" w:rsidP="00E84AD2">
      <w:pPr>
        <w:spacing w:after="0" w:line="240" w:lineRule="auto"/>
        <w:jc w:val="center"/>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 </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b/>
          <w:bCs/>
          <w:color w:val="000000"/>
          <w:sz w:val="28"/>
          <w:szCs w:val="28"/>
        </w:rPr>
        <w:t>Алимент ундириш тўғрисидаги даъво аризасининг мазмуни ва шакли. </w:t>
      </w:r>
      <w:r w:rsidRPr="00E84AD2">
        <w:rPr>
          <w:rFonts w:ascii="Times New Roman" w:eastAsia="Times New Roman" w:hAnsi="Times New Roman" w:cs="Times New Roman"/>
          <w:color w:val="000000"/>
          <w:sz w:val="28"/>
          <w:szCs w:val="28"/>
        </w:rPr>
        <w:t>Фуқаролик процессуал ҳуқуқининг таҳлил қилишга бағишланган илмий ишларда муаллифлар томонидан даъво ва даъво аризасининг ўзаро нисбати тўғрисидаги масала мунозарали ҳисобланади.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Назарияда даъвонинг бир неча тушунчалари мавжуд бўлсада, кўплаб муаллифлар даъво – бу бузилган ҳуқуқ ёки қонун билан қўриқланадиган манфаатни ҳимоя этиш тўғрисиги даъводир деб ҳисоблайдилар. Даъво аризаси эса қайд этилган талабни ташқи ифодасидир.</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Демак, даъво ва даъво аризасининг ўзаро нисбатини манфаатдор шахснинг ҳаракатларига йўналтирилган, субъектив ёндашув эмас, балки объектив маънода элементларни белгилаш зарурлигини тушунишга имконият берувчи нисбатан мустақилликка эга бўлган мазмун ва шаклнинг ўзаро нисбати деб кўриш лозим</w:t>
      </w:r>
      <w:bookmarkStart w:id="13" w:name="_ftnref33"/>
      <w:r w:rsidRPr="00E84AD2">
        <w:rPr>
          <w:rFonts w:ascii="Times New Roman" w:eastAsia="Times New Roman" w:hAnsi="Times New Roman" w:cs="Times New Roman"/>
          <w:color w:val="000000"/>
          <w:sz w:val="28"/>
          <w:szCs w:val="28"/>
        </w:rPr>
        <w:fldChar w:fldCharType="begin"/>
      </w:r>
      <w:r w:rsidRPr="00E84AD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"_ftn33" \o "" </w:instrText>
      </w:r>
      <w:r w:rsidRPr="00E84AD2">
        <w:rPr>
          <w:rFonts w:ascii="Times New Roman" w:eastAsia="Times New Roman" w:hAnsi="Times New Roman" w:cs="Times New Roman"/>
          <w:color w:val="000000"/>
          <w:sz w:val="28"/>
          <w:szCs w:val="28"/>
        </w:rPr>
        <w:fldChar w:fldCharType="separate"/>
      </w:r>
      <w:r w:rsidRPr="00E84AD2">
        <w:rPr>
          <w:rFonts w:ascii="Times New Roman" w:eastAsia="Times New Roman" w:hAnsi="Times New Roman" w:cs="Times New Roman"/>
          <w:color w:val="0000FF"/>
          <w:sz w:val="28"/>
          <w:szCs w:val="28"/>
          <w:u w:val="single"/>
          <w:vertAlign w:val="superscript"/>
        </w:rPr>
        <w:t>[33]</w:t>
      </w:r>
      <w:r w:rsidRPr="00E84AD2">
        <w:rPr>
          <w:rFonts w:ascii="Times New Roman" w:eastAsia="Times New Roman" w:hAnsi="Times New Roman" w:cs="Times New Roman"/>
          <w:color w:val="000000"/>
          <w:sz w:val="28"/>
          <w:szCs w:val="28"/>
        </w:rPr>
        <w:fldChar w:fldCharType="end"/>
      </w:r>
      <w:bookmarkEnd w:id="13"/>
      <w:r w:rsidRPr="00E84AD2">
        <w:rPr>
          <w:rFonts w:ascii="Times New Roman" w:eastAsia="Times New Roman" w:hAnsi="Times New Roman" w:cs="Times New Roman"/>
          <w:color w:val="000000"/>
          <w:sz w:val="28"/>
          <w:szCs w:val="28"/>
        </w:rPr>
        <w:t>.</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Амалдаги қонунчиликда алимент тўлашнинг келишув асосида, ихтиёрий ҳамда суд орқали удириш тартиби белгиланган.</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 xml:space="preserve">Алимент тўлаш тўғрисидаги келишув (алимент миқдори, шартлари ва тўлаш тартиби) алимент тўлаши шарт бўлган шахс билан алимент олувчи ўртасида тузилади. Алимент тўлаш тўғрисидаги шартнома иштирокчилари </w:t>
      </w:r>
      <w:r w:rsidRPr="00E84AD2">
        <w:rPr>
          <w:rFonts w:ascii="Times New Roman" w:eastAsia="Times New Roman" w:hAnsi="Times New Roman" w:cs="Times New Roman"/>
          <w:color w:val="000000"/>
          <w:sz w:val="28"/>
          <w:szCs w:val="28"/>
        </w:rPr>
        <w:lastRenderedPageBreak/>
        <w:t>бир томондан алимент тўлашга масъул бўлган шахс бўлса, иккинчи томондан алимент олувчи ҳисобланади, агар алимент тўловчи ёки олувчи муомалага лаёқатсиз бўлса, тегишинча, ундайлар учун ота-оналари, яъни қонуний вакиллари, фарзандликка олувчилари масъул ҳисобланадилар. Алиментнинг миқдори ва тўлаш тартиби тарафлар ўртасида тузилган келишув билан белгиланади. Айтиш керакки, вояга етмаган болаларга алимент тўлаш тўғрисидаги келишувга биноан тўланадиган алиментнинг миқдори алимент суд тартибида ундирилганда болалар олиши мумкин бўлган миқдордан кам бўлмаслиги керак.</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Оила Кодексининг 131-моддасига биноан алимент тўлаш тўғрисидаги келишув ёзма шаклда тузилиши ва нотариал тартибда тасдиқланган бўлиши лозим.</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Нотариал тартибда тасдиқланган алимент тўлаш тўғрисидаги келишув ижро варақаси кучига эга бўлади ва келишув битимларининг ижро этилиши учун алоҳида ижро варақаси ёзилиши талаб қилинмайди.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Ўзбекистон Республикаси Оила Кодексининг 135-моддасига биноан алимент тўлаши шарт бўлган шахс алиментни ихтиёрий равишда шахсан ёки ўз аризасига мувофиқ ишлаб турган жойида ёхуд пенсия, нафақа, стипендия ва бошқа турдаги маблағ олаётган жойда тўланади. Вояга етмаган болалар учун олинадиган алимент миқдори Оила Кодексининг 99-моддасида белгиланган миқдорлардан ушлаб қолинади.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Алиментнинг ихтиёрий равишда тўлаб турилиши алимент ундирувчини хоҳлаган вақтда алимент ундириш ҳақидаги ариза билан судга мурожаат қилиш ҳуқуқидан маҳрум қилмайди.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Алимент ундириш тўғрисидаги фуқаролик иши судья томонидан даъво аризаси асосида қўзғатилади ва даъво суд ишларини юритиш тартибида кўрилади. Бундай тартибда алиментларни ундиришга жавобгарнинг розилиги бўлмаганда, ундирувни унинг қатъий пул суммаси ёки бошқа фаолиятидан (хўжалигининг мавжудлиги) келадиган даромадларни инобатга олган ҳолда, алимент миқдорини камайтириш тўғрисидаги масалани ҳал қилишда, ўтган вақт учун алиментлар ундириш ҳақидаги ишлар кўрилади. Вояга етмаган болаларга алимент ундириш тўғрисидаги суд буйруғи судьянинг ўзи томонидан бекор қилинган ҳолларда ҳам иш даъво тартибида кўрилади </w:t>
      </w:r>
      <w:bookmarkStart w:id="14" w:name="_ftnref34"/>
      <w:r w:rsidRPr="00E84AD2">
        <w:rPr>
          <w:rFonts w:ascii="Times New Roman" w:eastAsia="Times New Roman" w:hAnsi="Times New Roman" w:cs="Times New Roman"/>
          <w:color w:val="000000"/>
          <w:sz w:val="28"/>
          <w:szCs w:val="28"/>
        </w:rPr>
        <w:fldChar w:fldCharType="begin"/>
      </w:r>
      <w:r w:rsidRPr="00E84AD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"_ftn34" \o "" </w:instrText>
      </w:r>
      <w:r w:rsidRPr="00E84AD2">
        <w:rPr>
          <w:rFonts w:ascii="Times New Roman" w:eastAsia="Times New Roman" w:hAnsi="Times New Roman" w:cs="Times New Roman"/>
          <w:color w:val="000000"/>
          <w:sz w:val="28"/>
          <w:szCs w:val="28"/>
        </w:rPr>
        <w:fldChar w:fldCharType="separate"/>
      </w:r>
      <w:r w:rsidRPr="00E84AD2">
        <w:rPr>
          <w:rFonts w:ascii="Times New Roman" w:eastAsia="Times New Roman" w:hAnsi="Times New Roman" w:cs="Times New Roman"/>
          <w:color w:val="0000FF"/>
          <w:sz w:val="28"/>
          <w:szCs w:val="28"/>
          <w:u w:val="single"/>
          <w:vertAlign w:val="superscript"/>
        </w:rPr>
        <w:t>[34]</w:t>
      </w:r>
      <w:r w:rsidRPr="00E84AD2">
        <w:rPr>
          <w:rFonts w:ascii="Times New Roman" w:eastAsia="Times New Roman" w:hAnsi="Times New Roman" w:cs="Times New Roman"/>
          <w:color w:val="000000"/>
          <w:sz w:val="28"/>
          <w:szCs w:val="28"/>
        </w:rPr>
        <w:fldChar w:fldCharType="end"/>
      </w:r>
      <w:bookmarkEnd w:id="14"/>
      <w:r w:rsidRPr="00E84AD2">
        <w:rPr>
          <w:rFonts w:ascii="Times New Roman" w:eastAsia="Times New Roman" w:hAnsi="Times New Roman" w:cs="Times New Roman"/>
          <w:color w:val="000000"/>
          <w:sz w:val="28"/>
          <w:szCs w:val="28"/>
        </w:rPr>
        <w:t>.</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 xml:space="preserve">Алимент ундириш тўғрисидаги даъво аризаси муҳим процессуал ҳужжат ҳисобланади. Алимент ундириш тўғрисидаги даъво аризаси судга ёзма шаклда жавобгарларнинг сонига мутаносиб миқдорда нусхалари билан берилади. ФПКнинг 149-моддасида биноан даъво аризасида ариза берилаётган суднинг номи, даъвогар ва жавобгарнинг номи (фамилияси, исми ва отасининг исми), уларнинг яшаш жойи, даъвогарнинг алимент ундириш тўғрисидаги талаби, даъвогар ўзининг талабларига асос қилиб </w:t>
      </w:r>
      <w:r w:rsidRPr="00E84AD2">
        <w:rPr>
          <w:rFonts w:ascii="Times New Roman" w:eastAsia="Times New Roman" w:hAnsi="Times New Roman" w:cs="Times New Roman"/>
          <w:color w:val="000000"/>
          <w:sz w:val="28"/>
          <w:szCs w:val="28"/>
        </w:rPr>
        <w:lastRenderedPageBreak/>
        <w:t>кўрсатаётган ҳолатлар, бу ҳолатларни тасдиқлайдиган далиллар, жавобгар алиментлар тўлашдан бош товлаганида уни қидириш учун қандай чоралар кўрилганлиги ва унинг ҳозирги вақтда қаерда яшаганлиги тўғрисидаги маълумотлар ҳам аризада кўрсатилади. Жавобгарнинг яшаш жойи номаълум бўлса, бу ҳолат ҳам кўрсатилиши керак.</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Даъво аризасига қуйдаги ҳужжатлар илова қилинади: боланинг туғилиши тўғрисидаги гувоҳнома; никоҳни қайд қилиш тўғрисидаги гувоҳнома; боланинг ариза берувчи билан бирга яшаши ва унинг боқимида бўлиши тўғрисидаги маълумот; жавобгарнинг ишлаб турган жойидан, унинг иш ҳақи тўғрисидаги ва унинг иш ҳақидан бошқа шахсларнинг фойдасига ижро ҳужжатлари бўйича қанча сумма ундирилиши тўғрисидаги маълумот; агар жавобгар фермер бўлса, жавобгарнинг томорка участкасидан оладиган қўшимча даромадлари тўғрисида фуқароларнинг ўзини-ўзи бошқарувчи идоралардан маълумот илова қилинади.</w:t>
      </w:r>
      <w:r w:rsidRPr="00E84AD2">
        <w:rPr>
          <w:rFonts w:ascii="Times New Roman" w:eastAsia="Times New Roman" w:hAnsi="Times New Roman" w:cs="Times New Roman"/>
          <w:color w:val="000000"/>
          <w:sz w:val="28"/>
          <w:szCs w:val="28"/>
          <w:vertAlign w:val="superscript"/>
        </w:rPr>
        <w:t> </w:t>
      </w:r>
      <w:bookmarkStart w:id="15" w:name="_ftnref35"/>
      <w:r w:rsidRPr="00E84AD2">
        <w:rPr>
          <w:rFonts w:ascii="Times New Roman" w:eastAsia="Times New Roman" w:hAnsi="Times New Roman" w:cs="Times New Roman"/>
          <w:color w:val="000000"/>
          <w:sz w:val="28"/>
          <w:szCs w:val="28"/>
          <w:vertAlign w:val="superscript"/>
        </w:rPr>
        <w:fldChar w:fldCharType="begin"/>
      </w:r>
      <w:r w:rsidRPr="00E84AD2">
        <w:rPr>
          <w:rFonts w:ascii="Times New Roman" w:eastAsia="Times New Roman" w:hAnsi="Times New Roman" w:cs="Times New Roman"/>
          <w:color w:val="000000"/>
          <w:sz w:val="28"/>
          <w:szCs w:val="28"/>
          <w:vertAlign w:val="superscript"/>
        </w:rPr>
        <w:instrText xml:space="preserve"> HYPERLINK "file:///E:\\WEB%20option\\UzVIP%20files\\1111111111111111111111\\From%20Muzaffar\\FILES\\Universitet\\TDYUI%20kitoblari\\Darsliklar\\Ayrim%20tur-gi%20fuq-k%20ishlarini%20suda%20ko'r-ng%20pr-l%20xus-i.htm" \l "_ftn35" \o "" </w:instrText>
      </w:r>
      <w:r w:rsidRPr="00E84AD2">
        <w:rPr>
          <w:rFonts w:ascii="Times New Roman" w:eastAsia="Times New Roman" w:hAnsi="Times New Roman" w:cs="Times New Roman"/>
          <w:color w:val="000000"/>
          <w:sz w:val="28"/>
          <w:szCs w:val="28"/>
          <w:vertAlign w:val="superscript"/>
        </w:rPr>
        <w:fldChar w:fldCharType="separate"/>
      </w:r>
      <w:r w:rsidRPr="00E84AD2">
        <w:rPr>
          <w:rFonts w:ascii="Times New Roman" w:eastAsia="Times New Roman" w:hAnsi="Times New Roman" w:cs="Times New Roman"/>
          <w:color w:val="0000FF"/>
          <w:sz w:val="28"/>
          <w:szCs w:val="28"/>
          <w:u w:val="single"/>
          <w:vertAlign w:val="superscript"/>
        </w:rPr>
        <w:t>[35]</w:t>
      </w:r>
      <w:r w:rsidRPr="00E84AD2">
        <w:rPr>
          <w:rFonts w:ascii="Times New Roman" w:eastAsia="Times New Roman" w:hAnsi="Times New Roman" w:cs="Times New Roman"/>
          <w:color w:val="000000"/>
          <w:sz w:val="28"/>
          <w:szCs w:val="28"/>
          <w:vertAlign w:val="superscript"/>
        </w:rPr>
        <w:fldChar w:fldCharType="end"/>
      </w:r>
      <w:bookmarkEnd w:id="15"/>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Юқорида кўрсатилган ҳужжатлардан бирортаси ҳам бўлмаса, даъвогарга бундай ҳужжатларни мумкин қадар қисқа вақт ичида топшириш қийин бўлса, судья уларни тегишли муассасалардан ўз ташаббуси бўйича талаб қилиб олишга мажбур (ФПКнинг 57, 158-моддалари).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rPr>
        <w:t>Ўзбекистон Республикасининг «Давлат божи» тўғрисидаги Қонунга биноан алимент ундириш тўғрисидаги даъволар бўйича даъвогарлар давлат божи тўлашдан озод қилинадилар. Даъво қаноатлантирилган ҳолларда эса суд харажатлари жавобгардан ундирилади. Маълумки, суд харажатлари давлат божи ва ишни кўриш билан боғлиқ чиқимлардан иборатдир. Ишни кўриш билан боғлиқ чиқимларга қуйидагилар киради: </w:t>
      </w:r>
      <w:r w:rsidRPr="00E84AD2">
        <w:rPr>
          <w:rFonts w:ascii="Times New Roman" w:eastAsia="Times New Roman" w:hAnsi="Times New Roman" w:cs="Times New Roman"/>
          <w:color w:val="000000"/>
          <w:sz w:val="28"/>
          <w:szCs w:val="28"/>
          <w:lang w:val="uz-Cyrl-UZ"/>
        </w:rPr>
        <w:t>гувоҳлар, экспертлар, мутахасисслар, таржимонларга тўланиши лозим бўлган суммалар; жойга бориб кўздан кечириш билан боғлиқ бўлган харажатлар; алиментлар ва зарар хақини ундириш тўғрисидаги ишлар бўйича </w:t>
      </w:r>
      <w:r w:rsidRPr="00E84AD2">
        <w:rPr>
          <w:rFonts w:ascii="Times New Roman" w:eastAsia="Times New Roman" w:hAnsi="Times New Roman" w:cs="Times New Roman"/>
          <w:color w:val="000000"/>
          <w:sz w:val="28"/>
          <w:szCs w:val="28"/>
        </w:rPr>
        <w:t>жавобгарни қидириш билан боғлиқ ҳаражатлар</w:t>
      </w:r>
      <w:r w:rsidRPr="00E84AD2">
        <w:rPr>
          <w:rFonts w:ascii="Times New Roman" w:eastAsia="Times New Roman" w:hAnsi="Times New Roman" w:cs="Times New Roman"/>
          <w:color w:val="000000"/>
          <w:sz w:val="28"/>
          <w:szCs w:val="28"/>
          <w:lang w:val="uz-Cyrl-UZ"/>
        </w:rPr>
        <w:t>; суднинг ҳал қилув қарорини ижро этиш билан боғлиқ харажатлардан иборат бўлади (ФПКнинг 109-моддаси).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Алимент миқдорини камайтириш ёки уларни тўлашдан озод этиш, шунингдек алимент бўйича қарздорлик ёки уни тўлашдан озод қилиш тўғрисида даъво тақдим этган шахслар суд харажатлари тўлашдан озод қилинмайдилар ва даъво аризаси бериш вақтида давлат божини тўлайдилар.</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 xml:space="preserve">Қонунчиликда алиментларни улушларда ва катъий пул суммасида ундириш имкониятини мавжудлиги учун даъво аризасида даъвогар алимент ундиришни қандай шаклда амалга ошириш кераклигини кўрсатиши лозим. Даъво аризасига зарур бўлган ҳужжатлар илова қилинади. Уларнинг рўйхати алимент талабининг характери ва конкрет ишнинг хусусиятларига боғлиқ. Биринчи навбатда рўйхат ким томонидан ва алимент талаби нима ҳақидалигига (ота-онага, эр хотиннинг бир-бирига таъминот бериш, алимент </w:t>
      </w:r>
      <w:r w:rsidRPr="00E84AD2">
        <w:rPr>
          <w:rFonts w:ascii="Times New Roman" w:eastAsia="Times New Roman" w:hAnsi="Times New Roman" w:cs="Times New Roman"/>
          <w:color w:val="000000"/>
          <w:sz w:val="28"/>
          <w:szCs w:val="28"/>
          <w:lang w:val="uz-Cyrl-UZ"/>
        </w:rPr>
        <w:lastRenderedPageBreak/>
        <w:t>тўловларининг миқдорини камайтириш ёки кўпайтириш, алимент тўлашдан озод қилиш тўғрисидаги) боғлиқ бўлади. Ишнинг характери ва мураккаблигига қараб, судья даъвогарга даъво аризасига илова қилинадиган ҳужжатларнинг нусхасини тақдим этиш мажбуриятини юклаши мумкин. Даъвогар томонидан имзоланган даъво аризасида уни судга топшириш муддати кўрсатилиши керак, чунки Оила Кодекси 136-моддасининг 2-қисмига асосан алимент даъво тақдим этилган кундан бошлаб ундирилади.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Алимент ундириш тўғрисидаги талаб бошқа талаблар билан бирга тақдим этилиши мумкин. Амалдаги қонунчилика биноан, алимент тўлаш тўғрисидаги талаб никоҳни бекор қилиш ёки ота-оналик ҳуқуқидан маҳрум қилиш тўғрисидаги даъволар билан берилиши мумкин. Жумладан, Ўзбекистон Республикаси Олий суди Пленумининг «Судлар томонидан никоҳдан ажратиш ҳақидаги ишларни кўришда қонунларни қўллаш амалиёти тўғрисида»ги қарорида кўрсатилишича, «Суд никоҳдан ажратиш тўғрисидаги ишларни  кўришда вояга етмаган болаларнинг ҳуқуқ ва манфаатларини ҳар томонлама ҳимоя қилиш мақсадида ишда аниқланган ҳолатларга мувофиқ манфаатдор шахс томонидан қўзғатилган-қўзғатилманлигидан қатъий назар, болалар тарбияси учун нафақа ундириш масаласини муҳокама қилиши лозим»</w:t>
      </w:r>
      <w:bookmarkStart w:id="16" w:name="_ftnref36"/>
      <w:r w:rsidRPr="00E84AD2">
        <w:rPr>
          <w:rFonts w:ascii="Times New Roman" w:eastAsia="Times New Roman" w:hAnsi="Times New Roman" w:cs="Times New Roman"/>
          <w:color w:val="000000"/>
          <w:sz w:val="27"/>
          <w:szCs w:val="27"/>
        </w:rPr>
        <w:fldChar w:fldCharType="begin"/>
      </w:r>
      <w:r w:rsidRPr="00E84AD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"_ftn36" \o "" </w:instrText>
      </w:r>
      <w:r w:rsidRPr="00E84AD2">
        <w:rPr>
          <w:rFonts w:ascii="Times New Roman" w:eastAsia="Times New Roman" w:hAnsi="Times New Roman" w:cs="Times New Roman"/>
          <w:color w:val="000000"/>
          <w:sz w:val="27"/>
          <w:szCs w:val="27"/>
        </w:rPr>
        <w:fldChar w:fldCharType="separate"/>
      </w:r>
      <w:r w:rsidRPr="00E84AD2">
        <w:rPr>
          <w:rFonts w:ascii="Times New Roman" w:eastAsia="Times New Roman" w:hAnsi="Times New Roman" w:cs="Times New Roman"/>
          <w:color w:val="0000FF"/>
          <w:sz w:val="28"/>
          <w:szCs w:val="28"/>
          <w:u w:val="single"/>
          <w:vertAlign w:val="superscript"/>
        </w:rPr>
        <w:t>[36]</w:t>
      </w:r>
      <w:r w:rsidRPr="00E84AD2">
        <w:rPr>
          <w:rFonts w:ascii="Times New Roman" w:eastAsia="Times New Roman" w:hAnsi="Times New Roman" w:cs="Times New Roman"/>
          <w:color w:val="000000"/>
          <w:sz w:val="27"/>
          <w:szCs w:val="27"/>
        </w:rPr>
        <w:fldChar w:fldCharType="end"/>
      </w:r>
      <w:bookmarkEnd w:id="16"/>
      <w:r w:rsidRPr="00E84AD2">
        <w:rPr>
          <w:rFonts w:ascii="Times New Roman" w:eastAsia="Times New Roman" w:hAnsi="Times New Roman" w:cs="Times New Roman"/>
          <w:color w:val="000000"/>
          <w:sz w:val="28"/>
          <w:szCs w:val="28"/>
          <w:lang w:val="uz-Cyrl-UZ"/>
        </w:rPr>
        <w:t>. </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Шунингдек Ўзбекистон Республикаси Олий суди Пленумининг «Оталикни белгилаш тўғрисидаги ишларни кўришда судлар томонидан қонунларнинг татбиқ этилиши тўғрисида»ги қарорида кўрсатилишича, «Оталикни белгилаш тўғрисидаги даъволар билан бирга боланинг таъминот учун алимент ундириш тўғрисидаги даъво ҳам тақдим этилиши мумкин»</w:t>
      </w:r>
      <w:bookmarkStart w:id="17" w:name="_ftnref37"/>
      <w:r w:rsidRPr="00E84AD2">
        <w:rPr>
          <w:rFonts w:ascii="Times New Roman" w:eastAsia="Times New Roman" w:hAnsi="Times New Roman" w:cs="Times New Roman"/>
          <w:color w:val="000000"/>
          <w:sz w:val="27"/>
          <w:szCs w:val="27"/>
        </w:rPr>
        <w:fldChar w:fldCharType="begin"/>
      </w:r>
      <w:r w:rsidRPr="00E84AD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"_ftn37" \o "" </w:instrText>
      </w:r>
      <w:r w:rsidRPr="00E84AD2">
        <w:rPr>
          <w:rFonts w:ascii="Times New Roman" w:eastAsia="Times New Roman" w:hAnsi="Times New Roman" w:cs="Times New Roman"/>
          <w:color w:val="000000"/>
          <w:sz w:val="27"/>
          <w:szCs w:val="27"/>
        </w:rPr>
        <w:fldChar w:fldCharType="separate"/>
      </w:r>
      <w:r w:rsidRPr="00E84AD2">
        <w:rPr>
          <w:rFonts w:ascii="Times New Roman" w:eastAsia="Times New Roman" w:hAnsi="Times New Roman" w:cs="Times New Roman"/>
          <w:color w:val="0000FF"/>
          <w:sz w:val="28"/>
          <w:szCs w:val="28"/>
          <w:u w:val="single"/>
          <w:vertAlign w:val="superscript"/>
        </w:rPr>
        <w:t>[37]</w:t>
      </w:r>
      <w:r w:rsidRPr="00E84AD2">
        <w:rPr>
          <w:rFonts w:ascii="Times New Roman" w:eastAsia="Times New Roman" w:hAnsi="Times New Roman" w:cs="Times New Roman"/>
          <w:color w:val="000000"/>
          <w:sz w:val="27"/>
          <w:szCs w:val="27"/>
        </w:rPr>
        <w:fldChar w:fldCharType="end"/>
      </w:r>
      <w:bookmarkEnd w:id="17"/>
      <w:r w:rsidRPr="00E84AD2">
        <w:rPr>
          <w:rFonts w:ascii="Times New Roman" w:eastAsia="Times New Roman" w:hAnsi="Times New Roman" w:cs="Times New Roman"/>
          <w:color w:val="000000"/>
          <w:sz w:val="28"/>
          <w:szCs w:val="28"/>
          <w:lang w:val="uz-Cyrl-UZ"/>
        </w:rPr>
        <w:t>.</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Бундан ташқари, етарли маблағга эга бўлган хотин эрдан ўртада бола туғилдан бошлаб уч йил давомида алимент ундириш ва эрнинг оталик ҳақидаги ёзувга эътироз билдириш тўғрисидаги даъволар ўзаро боғлиқ бўлиб, бирга кўрилади. Демак, алимент ундириш тўғрисидаги талаб бошқа талаблар билан бирга тақдим этилиши мумкин. Бу даъволарни бирлаштириш ҳисобланади ва бундай ишларнинг хусусиятлари шундан иборатки, алимент ундириш тўғрисидаги масала даъво тақдим этилмасдан ҳам ҳал қилиниши мумкин.</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Алиментга оид ҳуқуқий муносабатлардан келиб чиқадиган низоли ишлар бўйича даъво тақдим этишнинг айрим шартлари ФПКнинг 152-моддасида баён этилган. Лекин алимент ундириш тўғрисидаги даъволарни қўзғатиш учун уларнинг барчаси зарур эмас. Оила кодексининг 11-моддаси ва ФПКнинг 31-моддаларига мувофиқ, судларга оила ҳуқуқий муносабатлардан келиб чиқадиган низолар таалуқлидир, жумладан алимент мажбуриятлари ҳам.</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lastRenderedPageBreak/>
        <w:t>Судга мурожат этган шахс </w:t>
      </w:r>
      <w:r w:rsidRPr="00E84AD2">
        <w:rPr>
          <w:rFonts w:ascii="Times New Roman" w:eastAsia="Times New Roman" w:hAnsi="Times New Roman" w:cs="Times New Roman"/>
          <w:b/>
          <w:bCs/>
          <w:color w:val="000000"/>
          <w:sz w:val="28"/>
          <w:szCs w:val="28"/>
          <w:lang w:val="uz-Cyrl-UZ"/>
        </w:rPr>
        <w:t>процессуал ҳуқуқ лаёқатига</w:t>
      </w:r>
      <w:r w:rsidRPr="00E84AD2">
        <w:rPr>
          <w:rFonts w:ascii="Times New Roman" w:eastAsia="Times New Roman" w:hAnsi="Times New Roman" w:cs="Times New Roman"/>
          <w:color w:val="000000"/>
          <w:sz w:val="28"/>
          <w:szCs w:val="28"/>
          <w:lang w:val="uz-Cyrl-UZ"/>
        </w:rPr>
        <w:t> эга бўлиши керак. Айнан шу даъво бўйича суднинг қонуний кучга кирган ҳал қилув қарори (ёки вояга етмаган болаларнинг таъминоти учун алимент ундириш тўғрисиги суд бўйруғи) мавжуд бўлмаслиги, шунингдек суд айнан ўша тарафлар ўртасида, айнан бир предмет тўғрисида ва айнан бир асослар бўйича чиққан низо юзасидан иш юритмаётган бўлиши лозим. Суд амалиётида алимент ундириш, унинг миқдорини ўзгартириш ёки уни тўлашдан озод қилиш тўғрисидаги даъволарни тақроран тақдим этиш ҳоллари учрагани сабабли, Олий суд бундай даъволарни янги асослар бўйича тақдим этилган янги даъволардан фарқлаш кераклилигини тушунтирди. Агар биринчи ҳолатда айнан бир хил даъволар эканлигини инобатга олиб, даъво аризасини қабул қилишни рад этади. Алимент муносабатларининг давомли характерини ҳисобга олиб, янгидан тақдим этилган даъвони суднинг ҳал қилув қарори чиққандан сўнг янги асослар бўйича тақдим этилган даъво деб ҳисобланиши лозим, шунинг учун суд айнан бир низо бўйича қайтадан даъво тақдим этилганлигини важ қилиб, даъво аризасини қабул қилишни рад этиши мумкин эмас.</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Алимент ундириш тўғрисидаги ҳар бир даъво аризаси судловлилик қоидаларига риоя этилган ҳолда берилиши керак. Мазкур туркумдаги ишлар бўйича қонунда альтернатив судловлилик белгиланган, яъни ФПКнинг 241-моддасининг 3-қисмига асосан алимент ундириш тўғрисидаги даъволар бўйича жавобгарни турар жойи бўйичагина эмас, балки даъвогарнинг турган жойи бўйича ҳам берилиши мумкин. Альтернатив судловликни мавжудлиги даъвогарнинг моддий аҳволини қийинлиги, шунингдек вояга етмаган болаларининг борлиги жавобгарнинг яшаш жойидаги судда ишни кўрилишида иштирок этишига қийинчилик туғдиришини инобатга олиб, даъвогарнинг ўзи яшаб турган жойдаги судга алимент ундириш тўғрисидаги даъво билан мурожат қилиши мумкин. Мазкур туркумдаги ишлар бўйича альтернатив судловлиликни мавжудлигини даъвогарларнинг муҳим процессуал кафолатлари сифатида кўриш керак.</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 xml:space="preserve">Айтиб ўтиш керакки, альтернатив судловлилик қоидалари алимент мажбуриятларидан келиб чиқадиган бошқа даъволарга, яъни алимент миқдорини камайтириш ёки ўзгартириш, уларни тўлашдан озод қилиш ва ҳ.к.ларга таалуқли эмас. Мазкур туркумдаги даъволар бўйича чиқарилган суднинг қарори ёки суд буйруғида ундириладиган алиментлар миқдори белгиланган бўлади, бундай даъволарда ундирувчи жавобгар сифатида, алиментар миқдорини камайтиришга манфаатдор бўлган шахслар даъвогарлар ёки учинчи шахслар сифатида иштирок этади. Шунинг учун алимент тўлашга мажбур бўлган шахслар томонидан берилган даъволар </w:t>
      </w:r>
      <w:r w:rsidRPr="00E84AD2">
        <w:rPr>
          <w:rFonts w:ascii="Times New Roman" w:eastAsia="Times New Roman" w:hAnsi="Times New Roman" w:cs="Times New Roman"/>
          <w:color w:val="000000"/>
          <w:sz w:val="28"/>
          <w:szCs w:val="28"/>
          <w:lang w:val="uz-Cyrl-UZ"/>
        </w:rPr>
        <w:lastRenderedPageBreak/>
        <w:t>территориал судловлиликнинг умумий қоидалари асосида, яъни ФПКнинг 145-моддасига биноан жавобгарнинг яшаш жойи бўйича кўрилади.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Оталикни белгилаш ва боланинг таъминоти учун алимент ундириш тўғрисидаги даъволар бирга тақдим этилганда, бу даъво талабларининг судловлилиги алимент ундириш тўғрисидаги даъволарни судловлилиги, яъни ЎзР.ФПКнинг 145-моддаси ёки Ўз.Р ФПКнинг 241-моддасининг 3-қисми асосида белгиланади.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Алимент ундириш тўғрисидаги ишларни процессуал хусусиятларидан яна бири бу агар даъвогар алимент тўлашдан бўйин товлаётган жавобгарнинг яшаш жойини билмаса, судья уни яшаш жойини аниқлаш ва судга чақириш бўйича чораларни кўриши шарт. Алимент ундириш тўғрисидаги ишлар бўйича жавобгарнинг амалдаги яшаш жойи номаълум бўлса, суд ФПКнинг 140-моддасига асосан ички ишлар идоралари орқали жавобгарни қидиришни эълон қилиши ва Ўз.Р.ФПКнинг 93-моддасининг 3-қисмига биноан иш юритишни тўхтатиб туришга мажбур</w:t>
      </w:r>
      <w:bookmarkStart w:id="18" w:name="_ftnref38"/>
      <w:r w:rsidRPr="00E84AD2">
        <w:rPr>
          <w:rFonts w:ascii="Times New Roman" w:eastAsia="Times New Roman" w:hAnsi="Times New Roman" w:cs="Times New Roman"/>
          <w:color w:val="000000"/>
          <w:sz w:val="27"/>
          <w:szCs w:val="27"/>
        </w:rPr>
        <w:fldChar w:fldCharType="begin"/>
      </w:r>
      <w:r w:rsidRPr="00E84AD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"_ftn38" \o "" </w:instrText>
      </w:r>
      <w:r w:rsidRPr="00E84AD2">
        <w:rPr>
          <w:rFonts w:ascii="Times New Roman" w:eastAsia="Times New Roman" w:hAnsi="Times New Roman" w:cs="Times New Roman"/>
          <w:color w:val="000000"/>
          <w:sz w:val="27"/>
          <w:szCs w:val="27"/>
        </w:rPr>
        <w:fldChar w:fldCharType="separate"/>
      </w:r>
      <w:r w:rsidRPr="00E84AD2">
        <w:rPr>
          <w:rFonts w:ascii="Times New Roman" w:eastAsia="Times New Roman" w:hAnsi="Times New Roman" w:cs="Times New Roman"/>
          <w:color w:val="0000FF"/>
          <w:sz w:val="28"/>
          <w:szCs w:val="28"/>
          <w:u w:val="single"/>
          <w:vertAlign w:val="superscript"/>
        </w:rPr>
        <w:t>[38]</w:t>
      </w:r>
      <w:r w:rsidRPr="00E84AD2">
        <w:rPr>
          <w:rFonts w:ascii="Times New Roman" w:eastAsia="Times New Roman" w:hAnsi="Times New Roman" w:cs="Times New Roman"/>
          <w:color w:val="000000"/>
          <w:sz w:val="27"/>
          <w:szCs w:val="27"/>
        </w:rPr>
        <w:fldChar w:fldCharType="end"/>
      </w:r>
      <w:bookmarkEnd w:id="18"/>
      <w:r w:rsidRPr="00E84AD2">
        <w:rPr>
          <w:rFonts w:ascii="Times New Roman" w:eastAsia="Times New Roman" w:hAnsi="Times New Roman" w:cs="Times New Roman"/>
          <w:color w:val="000000"/>
          <w:sz w:val="28"/>
          <w:szCs w:val="28"/>
          <w:lang w:val="uz-Cyrl-UZ"/>
        </w:rPr>
        <w:t>.</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Оила Кодексининг 136-моддасига биноан алимент олиш ҳуқуқига эга бўлган шахс, алимент талаб қилиш ҳуқуқи (агар алимент олдин алимент тўлаш тўғрисидаги келишувга асосан тўланмаган бўлса) вужудга келганидан сўнг қанча муддат ўтганидан катъий назар, ҳоҳлаган вақтда алимент ундириш тўғрисидаги талаб билан судга мурожат қилиш ҳуқуқига эгалиги алимент ундириш тўғрисидаги ишларни процессуал хусусиятларидан яна бири ҳисобланади.</w:t>
      </w:r>
    </w:p>
    <w:p w:rsidR="00E84AD2" w:rsidRPr="00E84AD2" w:rsidRDefault="00E84AD2" w:rsidP="00E84AD2">
      <w:pPr>
        <w:spacing w:after="0" w:line="240" w:lineRule="auto"/>
        <w:jc w:val="both"/>
        <w:rPr>
          <w:rFonts w:ascii="BalticaUzbek" w:eastAsia="Times New Roman" w:hAnsi="BalticaUzbek" w:cs="Times New Roman"/>
          <w:color w:val="000000"/>
          <w:sz w:val="28"/>
          <w:szCs w:val="28"/>
        </w:rPr>
      </w:pPr>
      <w:r w:rsidRPr="00E84AD2">
        <w:rPr>
          <w:rFonts w:ascii="Times New Roman" w:eastAsia="Times New Roman" w:hAnsi="Times New Roman" w:cs="Times New Roman"/>
          <w:b/>
          <w:bCs/>
          <w:color w:val="000000"/>
          <w:sz w:val="28"/>
          <w:szCs w:val="28"/>
          <w:lang w:val="uz-Cyrl-UZ"/>
        </w:rPr>
        <w:t> </w:t>
      </w:r>
    </w:p>
    <w:p w:rsidR="00E84AD2" w:rsidRPr="00E84AD2" w:rsidRDefault="00E84AD2" w:rsidP="00E84AD2">
      <w:pPr>
        <w:spacing w:after="0" w:line="240" w:lineRule="auto"/>
        <w:jc w:val="center"/>
        <w:rPr>
          <w:rFonts w:ascii="BalticaUzbek" w:eastAsia="Times New Roman" w:hAnsi="BalticaUzbek" w:cs="Times New Roman"/>
          <w:color w:val="000000"/>
          <w:sz w:val="28"/>
          <w:szCs w:val="28"/>
        </w:rPr>
      </w:pPr>
      <w:r w:rsidRPr="00E84AD2">
        <w:rPr>
          <w:rFonts w:ascii="Times New Roman" w:eastAsia="Times New Roman" w:hAnsi="Times New Roman" w:cs="Times New Roman"/>
          <w:b/>
          <w:bCs/>
          <w:color w:val="000000"/>
          <w:sz w:val="28"/>
          <w:szCs w:val="28"/>
          <w:lang w:val="uz-Cyrl-UZ"/>
        </w:rPr>
        <w:t>2-</w:t>
      </w:r>
      <w:r w:rsidRPr="00E84AD2">
        <w:rPr>
          <w:rFonts w:ascii="Times New Roman" w:eastAsia="Times New Roman" w:hAnsi="Times New Roman" w:cs="Times New Roman"/>
          <w:b/>
          <w:bCs/>
          <w:color w:val="000000"/>
          <w:sz w:val="28"/>
          <w:szCs w:val="28"/>
        </w:rPr>
        <w:t>§</w:t>
      </w:r>
      <w:r w:rsidRPr="00E84AD2">
        <w:rPr>
          <w:rFonts w:ascii="Times New Roman" w:eastAsia="Times New Roman" w:hAnsi="Times New Roman" w:cs="Times New Roman"/>
          <w:b/>
          <w:bCs/>
          <w:color w:val="000000"/>
          <w:sz w:val="28"/>
          <w:szCs w:val="28"/>
          <w:lang w:val="uz-Cyrl-UZ"/>
        </w:rPr>
        <w:t>.</w:t>
      </w:r>
      <w:r w:rsidRPr="00E84AD2">
        <w:rPr>
          <w:rFonts w:ascii="Times New Roman" w:eastAsia="Times New Roman" w:hAnsi="Times New Roman" w:cs="Times New Roman"/>
          <w:b/>
          <w:bCs/>
          <w:i/>
          <w:iCs/>
          <w:color w:val="000000"/>
          <w:sz w:val="28"/>
          <w:szCs w:val="28"/>
          <w:lang w:val="uz-Cyrl-UZ"/>
        </w:rPr>
        <w:t> </w:t>
      </w:r>
      <w:r w:rsidRPr="00E84AD2">
        <w:rPr>
          <w:rFonts w:ascii="Times New Roman" w:eastAsia="Times New Roman" w:hAnsi="Times New Roman" w:cs="Times New Roman"/>
          <w:b/>
          <w:bCs/>
          <w:color w:val="000000"/>
          <w:sz w:val="28"/>
          <w:szCs w:val="28"/>
          <w:lang w:val="uz-Cyrl-UZ"/>
        </w:rPr>
        <w:t>Алимент ундириш тўғрисидаги ишларни судда кўришга тайёрлашнинг ва судда кўришнинг хусусиятлари. Даъво аризасини қабул қилиш ва судья томонидан алимент ундириш тўғрисидаги ишни қўзғатиш</w:t>
      </w:r>
    </w:p>
    <w:p w:rsidR="00E84AD2" w:rsidRPr="00E84AD2" w:rsidRDefault="00E84AD2" w:rsidP="00E84AD2">
      <w:pPr>
        <w:spacing w:after="0" w:line="240" w:lineRule="auto"/>
        <w:jc w:val="center"/>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 </w:t>
      </w:r>
    </w:p>
    <w:p w:rsidR="00E84AD2" w:rsidRPr="00E84AD2" w:rsidRDefault="00E84AD2" w:rsidP="00E84AD2">
      <w:pPr>
        <w:spacing w:after="0" w:line="240" w:lineRule="auto"/>
        <w:ind w:firstLine="709"/>
        <w:jc w:val="both"/>
        <w:rPr>
          <w:rFonts w:ascii="BalticaUzbek" w:eastAsia="Times New Roman" w:hAnsi="BalticaUzbek" w:cs="Times New Roman"/>
          <w:color w:val="000000"/>
          <w:sz w:val="28"/>
          <w:szCs w:val="28"/>
        </w:rPr>
      </w:pPr>
      <w:r w:rsidRPr="00E84AD2">
        <w:rPr>
          <w:rFonts w:ascii="Times New Roman" w:eastAsia="Times New Roman" w:hAnsi="Times New Roman" w:cs="Times New Roman"/>
          <w:color w:val="000000"/>
          <w:sz w:val="28"/>
          <w:szCs w:val="28"/>
          <w:lang w:val="uz-Cyrl-UZ"/>
        </w:rPr>
        <w:t>Қонунга асосан судья даъво аризасини қабул қилишга ва фуқаролик ишини қўзғатишга мажбур. Қонунда кўрсатилган асослар мавжуд бўлгандагина суд даъво аризасини қабул қилишни рад этади ёки ариза ҳаракатсиз қолдирилади (ФПКнинг 152, 154-моддалари).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Аризани қабул қилгандан кейин, судья ишни судда кўришга тайёрлаш ҳақида ажрим чиқаради.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ФПКнинг 148-151 - моддаларида кўрсатилган талабларга риоя қилган ҳолда берилган даъво аризасининг қабул қилиш, ёхуд аризани қабул қилишни рад этиш тўғрисидаги ажрим даъво аризаси келиб тушган кунда чиқарилиши керак. Алоҳида ҳоллардагина, узрли сабаблар (судьянинг касаллиги, даъво аризасини иш вақтида келгани ва ҳ.к.лар) мавжуд бўлганда, ажрим бошқа пайтда чиқарилиши мумкин.</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lastRenderedPageBreak/>
        <w:t>Ишни судда кўришга тайёрлаш ҳақида ажрим ФПКнинг 158-159 - моддаларида кўрсатилган қоидаларга мувофиқ чиқарилади. Ишни судда кўришга тайёрлаш ҳақидаги ажримда суд ишларини юритишнинг мазкур босқичида судья олдида турган вазифаларни амалга ошириш учун ҳал қилинадиган масалалар доирасини ҳал этади.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Айтиб ўтиш керакки, ишни судда кўришга тайёрлаш ҳақида ажримда судья томонидан белгиланган тадбирлар доираси баён этилсада, уларни мазмуни, яъни ечими кўрсатилмайди. Бошқача қилиб айтганда, судья томонидан мўлжалланган ҳар бир тайёрлов ҳаракати бошқа процессуал ҳужжатда объектив ифодасини топади.</w:t>
      </w:r>
      <w:r w:rsidRPr="00E84AD2">
        <w:rPr>
          <w:rFonts w:ascii="Times New Roman" w:eastAsia="Times New Roman" w:hAnsi="Times New Roman" w:cs="Times New Roman"/>
          <w:color w:val="000000"/>
          <w:sz w:val="28"/>
          <w:szCs w:val="28"/>
          <w:vertAlign w:val="superscript"/>
          <w:lang w:val="uz-Cyrl-UZ"/>
        </w:rPr>
        <w:t> </w:t>
      </w:r>
      <w:bookmarkStart w:id="19" w:name="_ftnref39"/>
      <w:r w:rsidRPr="00E84AD2">
        <w:rPr>
          <w:rFonts w:ascii="Times New Roman" w:eastAsia="Times New Roman" w:hAnsi="Times New Roman" w:cs="Times New Roman"/>
          <w:color w:val="000000"/>
          <w:sz w:val="27"/>
          <w:szCs w:val="27"/>
        </w:rPr>
        <w:fldChar w:fldCharType="begin"/>
      </w:r>
      <w:r w:rsidRPr="00E84AD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"_ftn39" \o "" </w:instrText>
      </w:r>
      <w:r w:rsidRPr="00E84AD2">
        <w:rPr>
          <w:rFonts w:ascii="Times New Roman" w:eastAsia="Times New Roman" w:hAnsi="Times New Roman" w:cs="Times New Roman"/>
          <w:color w:val="000000"/>
          <w:sz w:val="27"/>
          <w:szCs w:val="27"/>
        </w:rPr>
        <w:fldChar w:fldCharType="separate"/>
      </w:r>
      <w:r w:rsidRPr="00E84AD2">
        <w:rPr>
          <w:rFonts w:ascii="Times New Roman" w:eastAsia="Times New Roman" w:hAnsi="Times New Roman" w:cs="Times New Roman"/>
          <w:color w:val="0000FF"/>
          <w:sz w:val="28"/>
          <w:szCs w:val="28"/>
          <w:u w:val="single"/>
          <w:vertAlign w:val="superscript"/>
        </w:rPr>
        <w:t>[39]</w:t>
      </w:r>
      <w:r w:rsidRPr="00E84AD2">
        <w:rPr>
          <w:rFonts w:ascii="Times New Roman" w:eastAsia="Times New Roman" w:hAnsi="Times New Roman" w:cs="Times New Roman"/>
          <w:color w:val="000000"/>
          <w:sz w:val="27"/>
          <w:szCs w:val="27"/>
        </w:rPr>
        <w:fldChar w:fldCharType="end"/>
      </w:r>
      <w:bookmarkEnd w:id="19"/>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Юқорида айтганимиздек, судья даъво аризани қабул қилгандан кейин, судда ишни кўришга тайёргарлик кўради. Шу пайтдан бошлаб судья ягона мақсадга эриши учун йўналтирилган бир қатор процессуал ҳаракатларни амалга оширади.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Фуқаролик процессининг мазкур босқичида тарафларнинг талаб ва эътирозлари аниқланади, далиллар таъминланади, ишда иштирок этувчи шахслар доираси белгиланади, ишни тўғри ҳал қилинида муҳим аҳамиятга эга бўлган тарафларни талабларини асословчи фактлар аниқланади, тарафларнинг ҳуқуий муносабатлари ва қўлланилиши лозим бўлган қонун белгиланади. Зарур бўлган ҳолларда дастлаб алимент ундириш амалга оширилади, алимент ундириш тўғрисидаги даъвони таъминлаш ва яшаш жойи номаълум бўлган жавобгарни қидириш чоралари кўрилади, тегишли ташкилотлардан ёзма далиллар олинади.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Судья ишни судда кўришга тайёрлашда жавобгарнинг бошқа онадан бўлган болалари учун ҳам алимент тўлаш-тўламаслигини аниқлаш ва лозим ҳолларда бу она мустақил талаб билан арз қилмайдиган учинчи шахс сифатида жалб этиш масаласини кўриб чиқиши лозим. Чунки даъво қаноатлантирилган ҳолда муқаддам ёзилган ижро варақаси бўйича ундириладиган алиментнинг миқдорини бирмунча камайиши мумкин бўлганлиги сабабли, бундай ишнинг ҳал қилиниши оқибати учинчи шахслар манфаатига таъсир кўрсатиши мумкин.</w:t>
      </w:r>
      <w:bookmarkStart w:id="20" w:name="_ftnref40"/>
      <w:r w:rsidRPr="00E84AD2">
        <w:rPr>
          <w:rFonts w:ascii="Times New Roman" w:eastAsia="Times New Roman" w:hAnsi="Times New Roman" w:cs="Times New Roman"/>
          <w:color w:val="000000"/>
          <w:sz w:val="27"/>
          <w:szCs w:val="27"/>
        </w:rPr>
        <w:fldChar w:fldCharType="begin"/>
      </w:r>
      <w:r w:rsidRPr="00E84AD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"_ftn40" \o "" </w:instrText>
      </w:r>
      <w:r w:rsidRPr="00E84AD2">
        <w:rPr>
          <w:rFonts w:ascii="Times New Roman" w:eastAsia="Times New Roman" w:hAnsi="Times New Roman" w:cs="Times New Roman"/>
          <w:color w:val="000000"/>
          <w:sz w:val="27"/>
          <w:szCs w:val="27"/>
        </w:rPr>
        <w:fldChar w:fldCharType="separate"/>
      </w:r>
      <w:r w:rsidRPr="00E84AD2">
        <w:rPr>
          <w:rFonts w:ascii="Times New Roman" w:eastAsia="Times New Roman" w:hAnsi="Times New Roman" w:cs="Times New Roman"/>
          <w:color w:val="0000FF"/>
          <w:sz w:val="28"/>
          <w:szCs w:val="28"/>
          <w:u w:val="single"/>
          <w:vertAlign w:val="superscript"/>
        </w:rPr>
        <w:t>[40]</w:t>
      </w:r>
      <w:r w:rsidRPr="00E84AD2">
        <w:rPr>
          <w:rFonts w:ascii="Times New Roman" w:eastAsia="Times New Roman" w:hAnsi="Times New Roman" w:cs="Times New Roman"/>
          <w:color w:val="000000"/>
          <w:sz w:val="27"/>
          <w:szCs w:val="27"/>
        </w:rPr>
        <w:fldChar w:fldCharType="end"/>
      </w:r>
      <w:bookmarkEnd w:id="20"/>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Алимент ундириш тўғрисидаги ишларни хусусиятларидан келиб чиқиб, судья иш учун қандай фактлар аҳамиятга эга эканлигини ва бу фактлар қандай далиллар билан тасдиқланиши кераклигини белгилайди. Масалан, агар боланинг онаси боланинг отасига алимент ундириш тўғрисидаги даъво тақдим этса, судга ишни ҳал қилинишида жавобарни оталигини, болани қайд этилган никоҳда туғилганлигии ва даъвогарнинг тарбиясида эканлигини тасдикловчи фактлар зарурдир.</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 xml:space="preserve">Эр-хотиндан бирига, ота-онага, вояга етган болаларга ва ҳ.к.ларга алимент ундириш тўғрисидаги даъволарни тақдим этишда ишни тўғри ҳал </w:t>
      </w:r>
      <w:r w:rsidRPr="00E84AD2">
        <w:rPr>
          <w:rFonts w:ascii="Times New Roman" w:eastAsia="Times New Roman" w:hAnsi="Times New Roman" w:cs="Times New Roman"/>
          <w:color w:val="000000"/>
          <w:sz w:val="28"/>
          <w:szCs w:val="28"/>
          <w:lang w:val="uz-Cyrl-UZ"/>
        </w:rPr>
        <w:lastRenderedPageBreak/>
        <w:t>қилинишида қариндошлик ёки эр-хотинлик муносабатларни тасдиқловчи далиллардан ташқари, даъвогарнинг меҳнатга лаёқатсизлиги ва ёрдамга муҳтожлиги, шунингдек жавобгарнинг моддий аҳволини аниқловчи далиллар талаб қилинади, чунки алимент миқдори барча ҳолларда суд томонидан тарафларнинг моддий аҳволини инобатга олган ҳолда қатъий пул суммасида белгиланади </w:t>
      </w:r>
      <w:bookmarkStart w:id="21" w:name="_ftnref41"/>
      <w:r w:rsidRPr="00E84AD2">
        <w:rPr>
          <w:rFonts w:ascii="Times New Roman" w:eastAsia="Times New Roman" w:hAnsi="Times New Roman" w:cs="Times New Roman"/>
          <w:color w:val="000000"/>
          <w:sz w:val="27"/>
          <w:szCs w:val="27"/>
        </w:rPr>
        <w:fldChar w:fldCharType="begin"/>
      </w:r>
      <w:r w:rsidRPr="00E84AD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"_ftn41" \o "" </w:instrText>
      </w:r>
      <w:r w:rsidRPr="00E84AD2">
        <w:rPr>
          <w:rFonts w:ascii="Times New Roman" w:eastAsia="Times New Roman" w:hAnsi="Times New Roman" w:cs="Times New Roman"/>
          <w:color w:val="000000"/>
          <w:sz w:val="27"/>
          <w:szCs w:val="27"/>
        </w:rPr>
        <w:fldChar w:fldCharType="separate"/>
      </w:r>
      <w:r w:rsidRPr="00E84AD2">
        <w:rPr>
          <w:rFonts w:ascii="Times New Roman" w:eastAsia="Times New Roman" w:hAnsi="Times New Roman" w:cs="Times New Roman"/>
          <w:color w:val="0000FF"/>
          <w:sz w:val="28"/>
          <w:szCs w:val="28"/>
          <w:u w:val="single"/>
          <w:vertAlign w:val="superscript"/>
        </w:rPr>
        <w:t>[41]</w:t>
      </w:r>
      <w:r w:rsidRPr="00E84AD2">
        <w:rPr>
          <w:rFonts w:ascii="Times New Roman" w:eastAsia="Times New Roman" w:hAnsi="Times New Roman" w:cs="Times New Roman"/>
          <w:color w:val="000000"/>
          <w:sz w:val="27"/>
          <w:szCs w:val="27"/>
        </w:rPr>
        <w:fldChar w:fldCharType="end"/>
      </w:r>
      <w:bookmarkEnd w:id="21"/>
      <w:r w:rsidRPr="00E84AD2">
        <w:rPr>
          <w:rFonts w:ascii="Times New Roman" w:eastAsia="Times New Roman" w:hAnsi="Times New Roman" w:cs="Times New Roman"/>
          <w:color w:val="000000"/>
          <w:sz w:val="28"/>
          <w:szCs w:val="28"/>
          <w:lang w:val="uz-Cyrl-UZ"/>
        </w:rPr>
        <w:t>.</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Ишни судда кўришга тайёрлашда моддий ва процессуал ҳуқуқ нормалари талабларини бузувчи ҳал қилув қарорини чиқаришни олдини олиш мақсадида судья тарафларнинг ҳуқуқий муносабатлари, низони ҳал қилишда қўлланилиши лозим бўлган қонунни ва зарур бўлган далиллар доирасини тўғри белгилаши лозим.</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Жумладан, Г.нинг К.га нисбатан болага қатъий пул суммасида алимент ва олдинги ҳал қилув қарори бўйича алимент тўлаш кечикиб қолинганлиги учун неустойка ундириш тўғрисидаги даъвоси суднинг ҳал қилув қарори билан қаноатлантирилган.</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Вилоят судининг Раёсати суднинг ҳал қилув қарорини ўзгаришсиз қолдирган.</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Олий суднинг фуқаролик ишлари бўйича судлов ҳайъати назорат тартибида киритилган протестни қаноатлантириб, суд қарорларини бекор қилган ва ишни янгитдан кўришга биринчи инстанция судига юборган.</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Оила кодекси 102-моддасининг 2-қисмида кўрсатилган ҳолатлар мавжуд бўлгандагина вояга етмаган болаларга қатъий пул суммасида алимент ундириш мумкин. Оила кодекси 102-моддасининг 2-қисмига мувофиқ, қатъий пул суммасининг миқдори тарафларнинг моддий ва оилавий аҳволини ҳамда аҳамиятга молик бўлган бошқа ҳолатларни инобатга олган ҳолда болага имкон қадар олдинги яшаш шароитини сақлашдан келиб чиқиб белгиланади.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Айтиш керакки, ишни судда кўришга тайёрлашда суд ФПКнинг 159, 160 моддалари талабларини бузган ҳолда, ҳар бир тараф ўз арзларини тасдиқлаш учун тақдим этиши лозим бўлган далиллларни аниқламаган. Натижада суд даъвогарни жавобгар К.ни иш ҳақидан ташқари қўшимча даромади борлиги, шунингдек уларнинг миқдорини тасдиқловчи далилларсиз ишни кўрган. Бундан ташқари, иш материалларида даъвогарнинг моддий аҳволи тўғрисидаги далиллар ҳам мавжуд эмас. Жавобгарнинг моддий аҳволи хусусида эса фақатгина унинг иш жойидан маълумотнома олинган холос. Унга асосан К.нинг ойлик иш ҳақи 20000 ташкил этади. Лекин шунга қарамасдан, суд ундан ҳар ойда 379000 сўм алимент ундириш тўғрисида қарор чиқарган.</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 xml:space="preserve">Бундан ташқари суд Оила Кодексининг 142-моддасига ҳавола қилиб, 1997 йил 7 сентябрдан 1996 йил 18 декабргача бўлган даврга неустойка </w:t>
      </w:r>
      <w:r w:rsidRPr="00E84AD2">
        <w:rPr>
          <w:rFonts w:ascii="Times New Roman" w:eastAsia="Times New Roman" w:hAnsi="Times New Roman" w:cs="Times New Roman"/>
          <w:color w:val="000000"/>
          <w:sz w:val="28"/>
          <w:szCs w:val="28"/>
          <w:lang w:val="uz-Cyrl-UZ"/>
        </w:rPr>
        <w:lastRenderedPageBreak/>
        <w:t>ундирган. Бу ҳолатда суд алиментни ўз вақтида тўламаганлиги учун бундай жавобгарлик тури Ўзбекистон Республикасининг янги Оила Кодексида белгиланганлигини, шунинг учун Ўзбекистон Республикасининг янги Оила Кодексини амалга киритилгунга қадар, яъни 1998 йил 1 сентябргача алимент бўйича қарздорлик бўлганда қўлланмаслигини эътиборсиз қолдирган.</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Г.нинг талабларини қаноатлантиришида ФПКнинг 206-моддасининг 4-қисмида белгиланганидек, суд жавобгарни даъвони тан олганлигини ва уни суд томонидан қабул қилинганлигини баён этган. Лекин жавобгарнинг шикоятида унга даъвога рози эканлигини сўраганда қизига алимент тўлашга розилигини сўраганини тушунганини, ойлик иш ҳақидан анча юқори бўлган миқдорда алимент тўлаш ҳаёлида ҳам йўқлигини, қўшимча даромадалари йўқлиги сабабли унинг моддий аҳволи қийинлигини билдирган.</w:t>
      </w:r>
      <w:r w:rsidRPr="00E84AD2">
        <w:rPr>
          <w:rFonts w:ascii="Times New Roman" w:eastAsia="Times New Roman" w:hAnsi="Times New Roman" w:cs="Times New Roman"/>
          <w:color w:val="000000"/>
          <w:sz w:val="28"/>
          <w:szCs w:val="28"/>
          <w:vertAlign w:val="superscript"/>
          <w:lang w:val="uz-Cyrl-UZ"/>
        </w:rPr>
        <w:t> </w:t>
      </w:r>
      <w:bookmarkStart w:id="22" w:name="_ftnref42"/>
      <w:r w:rsidRPr="00E84AD2">
        <w:rPr>
          <w:rFonts w:ascii="Times New Roman" w:eastAsia="Times New Roman" w:hAnsi="Times New Roman" w:cs="Times New Roman"/>
          <w:color w:val="000000"/>
          <w:sz w:val="27"/>
          <w:szCs w:val="27"/>
        </w:rPr>
        <w:fldChar w:fldCharType="begin"/>
      </w:r>
      <w:r w:rsidRPr="00E84AD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"_ftn42" \o "" </w:instrText>
      </w:r>
      <w:r w:rsidRPr="00E84AD2">
        <w:rPr>
          <w:rFonts w:ascii="Times New Roman" w:eastAsia="Times New Roman" w:hAnsi="Times New Roman" w:cs="Times New Roman"/>
          <w:color w:val="000000"/>
          <w:sz w:val="27"/>
          <w:szCs w:val="27"/>
        </w:rPr>
        <w:fldChar w:fldCharType="separate"/>
      </w:r>
      <w:r w:rsidRPr="00E84AD2">
        <w:rPr>
          <w:rFonts w:ascii="Times New Roman" w:eastAsia="Times New Roman" w:hAnsi="Times New Roman" w:cs="Times New Roman"/>
          <w:color w:val="0000FF"/>
          <w:sz w:val="28"/>
          <w:szCs w:val="28"/>
          <w:u w:val="single"/>
          <w:vertAlign w:val="superscript"/>
        </w:rPr>
        <w:t>[42]</w:t>
      </w:r>
      <w:r w:rsidRPr="00E84AD2">
        <w:rPr>
          <w:rFonts w:ascii="Times New Roman" w:eastAsia="Times New Roman" w:hAnsi="Times New Roman" w:cs="Times New Roman"/>
          <w:color w:val="000000"/>
          <w:sz w:val="27"/>
          <w:szCs w:val="27"/>
        </w:rPr>
        <w:fldChar w:fldCharType="end"/>
      </w:r>
      <w:bookmarkEnd w:id="22"/>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Алимент ундирувчи учун у ёки бу далилларни тақдим этиш қийин бўлса, суд ўз ташаббуси билан далилларни таъминлаши шарт. Ишни кўраётган суд далилларни бошқа туман ёки шаҳарда тўплаш зарур бўлган тақдирда, тегишли судга муайян процессуал ҳаракатларни амалга оширишни топширади. Суд топшириғи ажрим билан расмийлаштирилиб, ундан кўрилаётган ишнинг моҳияти, аниқланиши зарур бўлган ҳолатлар, топшириқни бажарадиган суд тўплаши лозим бўлган далиллар кўрсатилади. Бу ажрим қайси суд номига ёзилган бўлса, ўша суд учун мажбурий бўлиб, ўн беш кунлик муддат ичида бажарилиши лозим (ФПКнинг 65-м.).</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Суд амалиётида даъвогар алимент тўғрисидаги талаб билан бирга у билан боғлиқ бўлган бошқа талабларни ҳам тақдим қилиш ҳоллари учрайди. Масалан, ноқонуний никоҳда туғилган боланинг онаси одатда оталикни белгилаш ва алимент ундириш тўғрисида даъво тақдим этади. Кўп ҳолларда алимент ундириш тўғрисидаги даъво никоҳни бекор қилиш ишларида кўрилади ва ота-оналик ҳуқуқидан маҳрум қилиш ҳақидаги масала билан бирга ҳал қилинади. Алимент ундириш тўғрисидаги талабни бир-бири билан боғлиқ бўлган бир неча талабларни битта суд мажлисида кўрилиши ишни тўлиқ, тўғри ва тез ҳал қилинишига, бир-бирига зид бўлган ҳал қилув қарорларини чиқарилишини олдини олишга кўмаклашади. Алимент тўғрисидаги даъвони бошқа даъволар билан бирлаштириш суднинг ташаббуси билан ҳам амалга оширилади. Даъволарни бирлаштиришга ҳуқуқий асос бўлиб ФПКнинг 155-моддаси хизмат қилади. Унда айтилишича, даъвогар бир аризада ўзаро боғлиқ бўлган бир неча талабни бирлаштиришга ҳақли. Суднинг худди шундай ҳуқуқи ФПКнинг 156-моддасида белгиланган.</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 xml:space="preserve">Бир даъво аризасида бирлаштирилган талаблар мустақил  аҳамиятини сақлаб қолади ва суднинг ҳал қилув қарорида уларнинг ҳар бирига жавоб берилган бўлиши керак. Шу билан бирга бундай даъволарни бирлаштирганда </w:t>
      </w:r>
      <w:r w:rsidRPr="00E84AD2">
        <w:rPr>
          <w:rFonts w:ascii="Times New Roman" w:eastAsia="Times New Roman" w:hAnsi="Times New Roman" w:cs="Times New Roman"/>
          <w:color w:val="000000"/>
          <w:sz w:val="28"/>
          <w:szCs w:val="28"/>
          <w:lang w:val="uz-Cyrl-UZ"/>
        </w:rPr>
        <w:lastRenderedPageBreak/>
        <w:t>алимент ундириш тўғрисидаги масала асосий даъво бўйича талабларни қаноатлантирилишига боғлиқ </w:t>
      </w:r>
      <w:bookmarkStart w:id="23" w:name="_ftnref43"/>
      <w:r w:rsidRPr="00E84AD2">
        <w:rPr>
          <w:rFonts w:ascii="Times New Roman" w:eastAsia="Times New Roman" w:hAnsi="Times New Roman" w:cs="Times New Roman"/>
          <w:color w:val="000000"/>
          <w:sz w:val="27"/>
          <w:szCs w:val="27"/>
        </w:rPr>
        <w:fldChar w:fldCharType="begin"/>
      </w:r>
      <w:r w:rsidRPr="00E84AD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"_ftn43" \o "" </w:instrText>
      </w:r>
      <w:r w:rsidRPr="00E84AD2">
        <w:rPr>
          <w:rFonts w:ascii="Times New Roman" w:eastAsia="Times New Roman" w:hAnsi="Times New Roman" w:cs="Times New Roman"/>
          <w:color w:val="000000"/>
          <w:sz w:val="27"/>
          <w:szCs w:val="27"/>
        </w:rPr>
        <w:fldChar w:fldCharType="separate"/>
      </w:r>
      <w:r w:rsidRPr="00E84AD2">
        <w:rPr>
          <w:rFonts w:ascii="Times New Roman" w:eastAsia="Times New Roman" w:hAnsi="Times New Roman" w:cs="Times New Roman"/>
          <w:color w:val="0000FF"/>
          <w:sz w:val="28"/>
          <w:szCs w:val="28"/>
          <w:u w:val="single"/>
          <w:vertAlign w:val="superscript"/>
        </w:rPr>
        <w:t>[43]</w:t>
      </w:r>
      <w:r w:rsidRPr="00E84AD2">
        <w:rPr>
          <w:rFonts w:ascii="Times New Roman" w:eastAsia="Times New Roman" w:hAnsi="Times New Roman" w:cs="Times New Roman"/>
          <w:color w:val="000000"/>
          <w:sz w:val="27"/>
          <w:szCs w:val="27"/>
        </w:rPr>
        <w:fldChar w:fldCharType="end"/>
      </w:r>
      <w:bookmarkEnd w:id="23"/>
      <w:r w:rsidRPr="00E84AD2">
        <w:rPr>
          <w:rFonts w:ascii="Times New Roman" w:eastAsia="Times New Roman" w:hAnsi="Times New Roman" w:cs="Times New Roman"/>
          <w:color w:val="000000"/>
          <w:sz w:val="28"/>
          <w:szCs w:val="28"/>
          <w:lang w:val="uz-Cyrl-UZ"/>
        </w:rPr>
        <w:t>.</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Юқорида қайд этилган ҳаракатлардан ташқари судья ишни судда кўришга тайёрлашда зарур бўлган ҳолларда қуйдаги ҳаракатларни амалга ошириши лозим: суд мажлисига гувоҳларни чақиртириш, экспертиза тайинлаш масаласини ҳал қилиши керак; ишда иштирок этувчи шахсларни хабардор қилган ҳолда ёзма ва ашёвий далилларни судга тақдим этиш қийин бўлса, улар сақланаётган жойда кўздан кечириши ва текшириши, даъвони таъминлаш бўйича чоралар кўриши шарт. ФПКнинг 248-моддасига мувофиқ, даъвони таъминлаш чораларини кўрмаслик суд чиқарган ҳал қилув қарорининг ижросини қийинлаштирса ёки уни бажариб бўлмайдиган қилиб қўйса, даъвони таъминлашга йўл қўйилади.</w:t>
      </w:r>
    </w:p>
    <w:p w:rsidR="00E84AD2" w:rsidRPr="00E84AD2" w:rsidRDefault="00E84AD2" w:rsidP="00E84AD2">
      <w:pPr>
        <w:spacing w:after="0" w:line="240" w:lineRule="auto"/>
        <w:ind w:firstLine="709"/>
        <w:jc w:val="both"/>
        <w:rPr>
          <w:rFonts w:ascii="Times New Roman" w:eastAsia="Times New Roman" w:hAnsi="Times New Roman" w:cs="Times New Roman"/>
          <w:color w:val="000000"/>
          <w:sz w:val="27"/>
          <w:szCs w:val="27"/>
        </w:rPr>
      </w:pPr>
      <w:r w:rsidRPr="00E84AD2">
        <w:rPr>
          <w:rFonts w:ascii="Times New Roman" w:eastAsia="Times New Roman" w:hAnsi="Times New Roman" w:cs="Times New Roman"/>
          <w:color w:val="000000"/>
          <w:sz w:val="28"/>
          <w:szCs w:val="28"/>
          <w:lang w:val="uz-Cyrl-UZ"/>
        </w:rPr>
        <w:t>Агар жавобгар ҳеч қаерда ишламаса, унга тегишли бўлган ва унинг ўзида ёки бошқа шахсда турган мол-мулк ёхуд банкдаги пул суммасини хатлаш орқали даъво таъминланади. Даъвони таъминлаш мақсадида жавобгарни иш ҳақини хатлаш зарурияти ҳам келиб чиқади. Хусусан, агар даъвогар нафақат келгусида, балки ўтган вақт учун алимент ундиришни талаб қилса ёки ундирув иш ҳақининг 50 фоизи миқдорида бўлса ва даъвогарни даъво тақдим этган пайтдан бошлаб алимент олишини кафолатлаш зарур бўлган ҳолларда, шунингдек қейинчалик ҳал қилув қарорини ижро этиш қийин бўлса жавобгарни иш ҳақини хатлаш мумкин </w:t>
      </w:r>
      <w:bookmarkStart w:id="24" w:name="_ftnref44"/>
      <w:r w:rsidRPr="00E84AD2">
        <w:rPr>
          <w:rFonts w:ascii="Times New Roman" w:eastAsia="Times New Roman" w:hAnsi="Times New Roman" w:cs="Times New Roman"/>
          <w:color w:val="000000"/>
          <w:sz w:val="27"/>
          <w:szCs w:val="27"/>
        </w:rPr>
        <w:fldChar w:fldCharType="begin"/>
      </w:r>
      <w:r w:rsidRPr="00E84AD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"_ftn44" \o "" </w:instrText>
      </w:r>
      <w:r w:rsidRPr="00E84AD2">
        <w:rPr>
          <w:rFonts w:ascii="Times New Roman" w:eastAsia="Times New Roman" w:hAnsi="Times New Roman" w:cs="Times New Roman"/>
          <w:color w:val="000000"/>
          <w:sz w:val="27"/>
          <w:szCs w:val="27"/>
        </w:rPr>
        <w:fldChar w:fldCharType="separate"/>
      </w:r>
      <w:r w:rsidRPr="00E84AD2">
        <w:rPr>
          <w:rFonts w:ascii="Times New Roman" w:eastAsia="Times New Roman" w:hAnsi="Times New Roman" w:cs="Times New Roman"/>
          <w:color w:val="0000FF"/>
          <w:sz w:val="28"/>
          <w:szCs w:val="28"/>
          <w:u w:val="single"/>
          <w:vertAlign w:val="superscript"/>
        </w:rPr>
        <w:t>[44]</w:t>
      </w:r>
      <w:r w:rsidRPr="00E84AD2">
        <w:rPr>
          <w:rFonts w:ascii="Times New Roman" w:eastAsia="Times New Roman" w:hAnsi="Times New Roman" w:cs="Times New Roman"/>
          <w:color w:val="000000"/>
          <w:sz w:val="27"/>
          <w:szCs w:val="27"/>
        </w:rPr>
        <w:fldChar w:fldCharType="end"/>
      </w:r>
      <w:bookmarkEnd w:id="24"/>
      <w:r w:rsidRPr="00E84AD2">
        <w:rPr>
          <w:rFonts w:ascii="Times New Roman" w:eastAsia="Times New Roman" w:hAnsi="Times New Roman" w:cs="Times New Roman"/>
          <w:color w:val="000000"/>
          <w:sz w:val="28"/>
          <w:szCs w:val="28"/>
          <w:lang w:val="uz-Cyrl-UZ"/>
        </w:rPr>
        <w:t>.</w:t>
      </w:r>
    </w:p>
    <w:p w:rsidR="00E84AD2" w:rsidRPr="00E84AD2" w:rsidRDefault="00E84AD2" w:rsidP="00E84AD2">
      <w:pPr>
        <w:spacing w:after="0" w:line="240" w:lineRule="auto"/>
        <w:ind w:firstLine="709"/>
        <w:jc w:val="both"/>
        <w:rPr>
          <w:rFonts w:ascii="BalticaUzbek" w:eastAsia="Times New Roman" w:hAnsi="BalticaUzbek" w:cs="Times New Roman"/>
          <w:color w:val="000000"/>
          <w:sz w:val="28"/>
          <w:szCs w:val="28"/>
        </w:rPr>
      </w:pPr>
      <w:r w:rsidRPr="00E84AD2">
        <w:rPr>
          <w:rFonts w:ascii="Times New Roman" w:eastAsia="Times New Roman" w:hAnsi="Times New Roman" w:cs="Times New Roman"/>
          <w:color w:val="000000"/>
          <w:sz w:val="28"/>
          <w:szCs w:val="28"/>
          <w:lang w:val="uz-Cyrl-UZ"/>
        </w:rPr>
        <w:t>Ишни судда кўришга тайёрлашда судья боланинг туғилганлик тўғрисидаги гувоҳномасида ота (она) деб ёзилган шахсдан алимент ундириш тўғрисидаги низо узил-кесил ҳал этилгунга қадар шу низо бўйича Оила Кодесида белгиланган миқдорда вақтинча алимент ундириш имкониятини назарда тутувчи Оила кодексининг 112-моддасини қўллаш тўғрисидаги масалани ҳал қилиши керак. Суднинг ҳал қилув қарори асосида ундириладиган алиментлар судга мурожат этган вақтдан бошлаб ундирилсада, умумий қоида бўйича алиментларни тўлаш суднинг ҳал қилув қарори чиқарилган пайтдан бошланади, чунки алимент ундириш тўғрисидаги ҳал қилув қарорлари дарҳол ижро этилади ва апелляция шикоятини келтирилиши унинг ижросини тўхтатмайди. Судга мурожат этган пайтдан то суднинг ҳал қилув қарори чиқарилгунга қадар бўлган вақтга алиментлар суднинг ҳал қилув қарори чиқарилгандан сўнг тўланади.</w:t>
      </w:r>
    </w:p>
    <w:p w:rsidR="00E84AD2" w:rsidRPr="00E84AD2" w:rsidRDefault="00E84AD2" w:rsidP="00E84AD2">
      <w:pPr>
        <w:spacing w:after="0" w:line="240" w:lineRule="auto"/>
        <w:ind w:firstLine="709"/>
        <w:jc w:val="both"/>
        <w:rPr>
          <w:rFonts w:ascii="BalticaUzbek" w:eastAsia="Times New Roman" w:hAnsi="BalticaUzbek" w:cs="Times New Roman"/>
          <w:color w:val="000000"/>
          <w:sz w:val="28"/>
          <w:szCs w:val="28"/>
        </w:rPr>
      </w:pPr>
      <w:r w:rsidRPr="00E84AD2">
        <w:rPr>
          <w:rFonts w:ascii="Times New Roman" w:eastAsia="Times New Roman" w:hAnsi="Times New Roman" w:cs="Times New Roman"/>
          <w:color w:val="000000"/>
          <w:sz w:val="28"/>
          <w:szCs w:val="28"/>
          <w:lang w:val="uz-Cyrl-UZ"/>
        </w:rPr>
        <w:t xml:space="preserve">Юқорида қайд этилган ҳолатларни инобатга олган ҳолда судга алиментларни вақтинчалик ундириш тўғрисидаги ажримни чиқариш ҳуқуқи берилган. Ҳал қилув қарорини чиқариш тартибидаги фарқ шундаки, суднинг ҳал қилув қарори чиққунга қадар бошқа туркумдаги алимент олувчиларга (вояга етмаган болалар бундан мустасно) таъминоти учун алимент ундириш мумкин эмас, чунки алиментларнинг миқдори қонунда белгиланмаган ва уни </w:t>
      </w:r>
      <w:r w:rsidRPr="00E84AD2">
        <w:rPr>
          <w:rFonts w:ascii="Times New Roman" w:eastAsia="Times New Roman" w:hAnsi="Times New Roman" w:cs="Times New Roman"/>
          <w:color w:val="000000"/>
          <w:sz w:val="28"/>
          <w:szCs w:val="28"/>
          <w:lang w:val="uz-Cyrl-UZ"/>
        </w:rPr>
        <w:lastRenderedPageBreak/>
        <w:t>аниқлаш учун ишни кўриб чиқиши зарур. Шунинг учун мазкур шахсларга нисбатан суднинг ҳал қилув қарори чиқарилгандан бошлаб қонуний кучга киргунга қадарли мазкур ҳал қилув қарори билан белгиланган миқдорда вақтинчалик алимент ундирилади. Вояга етмаган болаларга тўланадиган алимент миқдори эса Оила кодексининг 99-моддаси билан белгиланган, шунинг учун суд алимент ундириш тўғрисидаги даъво билан мурожат этган пайтдан бошлаб белгиланган миқдорда вақтинчалик алимент ундириши мумкин.</w:t>
      </w:r>
    </w:p>
    <w:p w:rsidR="00E84AD2" w:rsidRPr="00E84AD2" w:rsidRDefault="00E84AD2" w:rsidP="00E84AD2">
      <w:pPr>
        <w:spacing w:after="0" w:line="240" w:lineRule="auto"/>
        <w:ind w:firstLine="709"/>
        <w:jc w:val="both"/>
        <w:rPr>
          <w:rFonts w:ascii="BalticaUzbek" w:eastAsia="Times New Roman" w:hAnsi="BalticaUzbek" w:cs="Times New Roman"/>
          <w:color w:val="000000"/>
          <w:sz w:val="28"/>
          <w:szCs w:val="28"/>
        </w:rPr>
      </w:pPr>
      <w:r w:rsidRPr="00E84AD2">
        <w:rPr>
          <w:rFonts w:ascii="Times New Roman" w:eastAsia="Times New Roman" w:hAnsi="Times New Roman" w:cs="Times New Roman"/>
          <w:color w:val="000000"/>
          <w:sz w:val="28"/>
          <w:szCs w:val="28"/>
          <w:lang w:val="uz-Cyrl-UZ"/>
        </w:rPr>
        <w:t>Вақтинчалик тўланадиган алиментларнинг миқдори ҳам улушлар, ҳам қатъий пул суммаси билан белгиланиши мумкин. Суд кейинчалик алимент ундириш тўғрисидаги даъвони қаноатлантирмаслик ҳақидаги ҳал қилув қарори чиқарган тақдирда мазкур суммалар қайтарилмайди ва келажакдаги тўловлар ҳисобига ёзилмайди.</w:t>
      </w:r>
    </w:p>
    <w:p w:rsidR="00E84AD2" w:rsidRPr="00E84AD2" w:rsidRDefault="00E84AD2" w:rsidP="00E84AD2">
      <w:pPr>
        <w:spacing w:after="0" w:line="240" w:lineRule="auto"/>
        <w:ind w:firstLine="709"/>
        <w:jc w:val="both"/>
        <w:rPr>
          <w:rFonts w:ascii="BalticaUzbek" w:eastAsia="Times New Roman" w:hAnsi="BalticaUzbek" w:cs="Times New Roman"/>
          <w:color w:val="000000"/>
          <w:sz w:val="28"/>
          <w:szCs w:val="28"/>
        </w:rPr>
      </w:pPr>
      <w:r w:rsidRPr="00E84AD2">
        <w:rPr>
          <w:rFonts w:ascii="Times New Roman" w:eastAsia="Times New Roman" w:hAnsi="Times New Roman" w:cs="Times New Roman"/>
          <w:color w:val="000000"/>
          <w:sz w:val="28"/>
          <w:szCs w:val="28"/>
          <w:lang w:val="uz-Cyrl-UZ"/>
        </w:rPr>
        <w:t>Айтиб ўтиш керакки, алимент ундириш зарурияти фуқаролик процессининг бошқа босқичларида ҳам келиб чиқиши мумкин. Масалан, суд мажлисида суд ишни мазмунан кўрилишини у ёки бу муддатга қолдириб, вақтинчалик алимент ундириш масаласини ҳал қилиши мумкин. Юқори турувчи суд биринчи инстанция судининг ҳал қилув қарорини бекор қилиб, ишни янгитдан кўришга юбориб, иш мазмунан ҳал қилингунга қадар алимент ундириши мумкин.</w:t>
      </w:r>
    </w:p>
    <w:p w:rsidR="00E84AD2" w:rsidRPr="00E84AD2" w:rsidRDefault="00E84AD2" w:rsidP="00E84AD2">
      <w:pPr>
        <w:spacing w:after="0" w:line="240" w:lineRule="auto"/>
        <w:ind w:firstLine="709"/>
        <w:jc w:val="both"/>
        <w:rPr>
          <w:rFonts w:ascii="BalticaUzbek" w:eastAsia="Times New Roman" w:hAnsi="BalticaUzbek" w:cs="Times New Roman"/>
          <w:color w:val="000000"/>
          <w:sz w:val="28"/>
          <w:szCs w:val="28"/>
        </w:rPr>
      </w:pPr>
      <w:r w:rsidRPr="00E84AD2">
        <w:rPr>
          <w:rFonts w:ascii="Times New Roman" w:eastAsia="Times New Roman" w:hAnsi="Times New Roman" w:cs="Times New Roman"/>
          <w:color w:val="000000"/>
          <w:sz w:val="28"/>
          <w:szCs w:val="28"/>
          <w:lang w:val="uz-Cyrl-UZ"/>
        </w:rPr>
        <w:t>Ишни суд мажлисида кўришга тайинлаб, судья тарафлар ва ишда иштирок этувчи бошқа шахсларни ишни кўриш вақти ва жойи ҳақида хабардор қилиши шарт.</w:t>
      </w:r>
    </w:p>
    <w:p w:rsidR="00E84AD2" w:rsidRPr="00E84AD2" w:rsidRDefault="00E84AD2" w:rsidP="00E84AD2">
      <w:pPr>
        <w:spacing w:after="0" w:line="240" w:lineRule="auto"/>
        <w:ind w:firstLine="709"/>
        <w:jc w:val="both"/>
        <w:rPr>
          <w:rFonts w:ascii="BalticaUzbek" w:eastAsia="Times New Roman" w:hAnsi="BalticaUzbek" w:cs="Times New Roman"/>
          <w:color w:val="000000"/>
          <w:sz w:val="28"/>
          <w:szCs w:val="28"/>
        </w:rPr>
      </w:pPr>
      <w:r w:rsidRPr="00E84AD2">
        <w:rPr>
          <w:rFonts w:ascii="Times New Roman" w:eastAsia="Times New Roman" w:hAnsi="Times New Roman" w:cs="Times New Roman"/>
          <w:color w:val="000000"/>
          <w:sz w:val="28"/>
          <w:szCs w:val="28"/>
          <w:lang w:val="uz-Cyrl-UZ"/>
        </w:rPr>
        <w:t>Судья даъво аризасининг ва унга илова қилинган даъвогарнинг талабларини тасдиқлоачи ҳужжатларнинг нусхасини жавобгарга юбориши ёхуд топшириши, ҳамда белгиланган муддатда ўз эътирозларини тасдиқловчи далилларни тақдим этишни таклиф қилиши лозим.</w:t>
      </w:r>
    </w:p>
    <w:p w:rsidR="003F6A17" w:rsidRDefault="003F6A17">
      <w:bookmarkStart w:id="25" w:name="_GoBack"/>
      <w:bookmarkEnd w:id="25"/>
    </w:p>
    <w:sectPr w:rsidR="003F6A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AD2"/>
    <w:rsid w:val="003F6A17"/>
    <w:rsid w:val="00E84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E84A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E84AD2"/>
    <w:rPr>
      <w:rFonts w:ascii="Times New Roman" w:eastAsia="Times New Roman" w:hAnsi="Times New Roman" w:cs="Times New Roman"/>
      <w:sz w:val="24"/>
      <w:szCs w:val="24"/>
    </w:rPr>
  </w:style>
  <w:style w:type="character" w:customStyle="1" w:styleId="apple-converted-space">
    <w:name w:val="apple-converted-space"/>
    <w:basedOn w:val="a0"/>
    <w:rsid w:val="00E84AD2"/>
  </w:style>
  <w:style w:type="character" w:styleId="a5">
    <w:name w:val="Hyperlink"/>
    <w:basedOn w:val="a0"/>
    <w:uiPriority w:val="99"/>
    <w:semiHidden/>
    <w:unhideWhenUsed/>
    <w:rsid w:val="00E84AD2"/>
    <w:rPr>
      <w:color w:val="0000FF"/>
      <w:u w:val="single"/>
    </w:rPr>
  </w:style>
  <w:style w:type="character" w:styleId="a6">
    <w:name w:val="footnote reference"/>
    <w:basedOn w:val="a0"/>
    <w:uiPriority w:val="99"/>
    <w:semiHidden/>
    <w:unhideWhenUsed/>
    <w:rsid w:val="00E84AD2"/>
  </w:style>
  <w:style w:type="paragraph" w:styleId="a7">
    <w:name w:val="Body Text Indent"/>
    <w:basedOn w:val="a"/>
    <w:link w:val="a8"/>
    <w:uiPriority w:val="99"/>
    <w:semiHidden/>
    <w:unhideWhenUsed/>
    <w:rsid w:val="00E84A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uiPriority w:val="99"/>
    <w:semiHidden/>
    <w:rsid w:val="00E84AD2"/>
    <w:rPr>
      <w:rFonts w:ascii="Times New Roman" w:eastAsia="Times New Roman" w:hAnsi="Times New Roman" w:cs="Times New Roman"/>
      <w:sz w:val="24"/>
      <w:szCs w:val="24"/>
    </w:rPr>
  </w:style>
  <w:style w:type="paragraph" w:styleId="3">
    <w:name w:val="Body Text 3"/>
    <w:basedOn w:val="a"/>
    <w:link w:val="30"/>
    <w:uiPriority w:val="99"/>
    <w:semiHidden/>
    <w:unhideWhenUsed/>
    <w:rsid w:val="00E84A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 Знак"/>
    <w:basedOn w:val="a0"/>
    <w:link w:val="3"/>
    <w:uiPriority w:val="99"/>
    <w:semiHidden/>
    <w:rsid w:val="00E84AD2"/>
    <w:rPr>
      <w:rFonts w:ascii="Times New Roman" w:eastAsia="Times New Roman" w:hAnsi="Times New Roman" w:cs="Times New Roman"/>
      <w:sz w:val="24"/>
      <w:szCs w:val="24"/>
    </w:rPr>
  </w:style>
  <w:style w:type="paragraph" w:customStyle="1" w:styleId="bodytextindent">
    <w:name w:val="bodytextindent"/>
    <w:basedOn w:val="a"/>
    <w:rsid w:val="00E84AD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E84A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E84AD2"/>
    <w:rPr>
      <w:rFonts w:ascii="Times New Roman" w:eastAsia="Times New Roman" w:hAnsi="Times New Roman" w:cs="Times New Roman"/>
      <w:sz w:val="24"/>
      <w:szCs w:val="24"/>
    </w:rPr>
  </w:style>
  <w:style w:type="character" w:customStyle="1" w:styleId="apple-converted-space">
    <w:name w:val="apple-converted-space"/>
    <w:basedOn w:val="a0"/>
    <w:rsid w:val="00E84AD2"/>
  </w:style>
  <w:style w:type="character" w:styleId="a5">
    <w:name w:val="Hyperlink"/>
    <w:basedOn w:val="a0"/>
    <w:uiPriority w:val="99"/>
    <w:semiHidden/>
    <w:unhideWhenUsed/>
    <w:rsid w:val="00E84AD2"/>
    <w:rPr>
      <w:color w:val="0000FF"/>
      <w:u w:val="single"/>
    </w:rPr>
  </w:style>
  <w:style w:type="character" w:styleId="a6">
    <w:name w:val="footnote reference"/>
    <w:basedOn w:val="a0"/>
    <w:uiPriority w:val="99"/>
    <w:semiHidden/>
    <w:unhideWhenUsed/>
    <w:rsid w:val="00E84AD2"/>
  </w:style>
  <w:style w:type="paragraph" w:styleId="a7">
    <w:name w:val="Body Text Indent"/>
    <w:basedOn w:val="a"/>
    <w:link w:val="a8"/>
    <w:uiPriority w:val="99"/>
    <w:semiHidden/>
    <w:unhideWhenUsed/>
    <w:rsid w:val="00E84A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uiPriority w:val="99"/>
    <w:semiHidden/>
    <w:rsid w:val="00E84AD2"/>
    <w:rPr>
      <w:rFonts w:ascii="Times New Roman" w:eastAsia="Times New Roman" w:hAnsi="Times New Roman" w:cs="Times New Roman"/>
      <w:sz w:val="24"/>
      <w:szCs w:val="24"/>
    </w:rPr>
  </w:style>
  <w:style w:type="paragraph" w:styleId="3">
    <w:name w:val="Body Text 3"/>
    <w:basedOn w:val="a"/>
    <w:link w:val="30"/>
    <w:uiPriority w:val="99"/>
    <w:semiHidden/>
    <w:unhideWhenUsed/>
    <w:rsid w:val="00E84A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 Знак"/>
    <w:basedOn w:val="a0"/>
    <w:link w:val="3"/>
    <w:uiPriority w:val="99"/>
    <w:semiHidden/>
    <w:rsid w:val="00E84AD2"/>
    <w:rPr>
      <w:rFonts w:ascii="Times New Roman" w:eastAsia="Times New Roman" w:hAnsi="Times New Roman" w:cs="Times New Roman"/>
      <w:sz w:val="24"/>
      <w:szCs w:val="24"/>
    </w:rPr>
  </w:style>
  <w:style w:type="paragraph" w:customStyle="1" w:styleId="bodytextindent">
    <w:name w:val="bodytextindent"/>
    <w:basedOn w:val="a"/>
    <w:rsid w:val="00E84AD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51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7028</Words>
  <Characters>40063</Characters>
  <Application>Microsoft Office Word</Application>
  <DocSecurity>0</DocSecurity>
  <Lines>333</Lines>
  <Paragraphs>93</Paragraphs>
  <ScaleCrop>false</ScaleCrop>
  <Company>Home</Company>
  <LinksUpToDate>false</LinksUpToDate>
  <CharactersWithSpaces>46998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2012-12-06T08:56:00Z</dcterms:created>
  <dcterms:modified xsi:type="dcterms:W3CDTF">2012-12-06T08:56:00Z</dcterms:modified>
</cp:coreProperties>
</file>